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650D">
      <w:pPr>
        <w:widowControl w:val="0"/>
        <w:rPr>
          <w:rFonts w:hint="default" w:ascii="Times New Roman" w:hAnsi="Times New Roman" w:eastAsia="方正黑体_GBK" w:cs="Times New Roman"/>
          <w:bCs/>
          <w:sz w:val="32"/>
          <w:szCs w:val="32"/>
          <w:lang w:eastAsia="zh-CN"/>
        </w:rPr>
      </w:pPr>
      <w:bookmarkStart w:id="0" w:name="_GoBack"/>
      <w:bookmarkEnd w:id="0"/>
      <w:r>
        <w:rPr>
          <w:rFonts w:hint="default" w:ascii="Times New Roman" w:hAnsi="Times New Roman" w:eastAsia="方正黑体_GBK" w:cs="Times New Roman"/>
          <w:bCs/>
          <w:sz w:val="32"/>
          <w:szCs w:val="32"/>
          <w:lang w:eastAsia="zh-CN"/>
        </w:rPr>
        <w:t>附件2</w:t>
      </w:r>
      <w:r>
        <w:rPr>
          <w:rFonts w:hint="eastAsia" w:ascii="Times New Roman" w:hAnsi="Times New Roman" w:eastAsia="方正黑体_GBK" w:cs="Times New Roman"/>
          <w:bCs/>
          <w:sz w:val="32"/>
          <w:szCs w:val="32"/>
          <w:lang w:eastAsia="zh-CN"/>
        </w:rPr>
        <w:t>：</w:t>
      </w:r>
    </w:p>
    <w:p w14:paraId="69043745">
      <w:pPr>
        <w:widowControl w:val="0"/>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582"/>
        <w:gridCol w:w="987"/>
        <w:gridCol w:w="1211"/>
        <w:gridCol w:w="1185"/>
        <w:gridCol w:w="1560"/>
        <w:gridCol w:w="1305"/>
        <w:gridCol w:w="2127"/>
      </w:tblGrid>
      <w:tr w14:paraId="7F5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56" w:type="dxa"/>
            <w:gridSpan w:val="2"/>
            <w:tcBorders>
              <w:top w:val="single" w:color="auto" w:sz="12" w:space="0"/>
              <w:left w:val="single" w:color="auto" w:sz="12" w:space="0"/>
            </w:tcBorders>
            <w:vAlign w:val="center"/>
          </w:tcPr>
          <w:p w14:paraId="61C945AE">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单位名称</w:t>
            </w:r>
          </w:p>
        </w:tc>
        <w:tc>
          <w:tcPr>
            <w:tcW w:w="8375" w:type="dxa"/>
            <w:gridSpan w:val="6"/>
            <w:tcBorders>
              <w:top w:val="single" w:color="auto" w:sz="12" w:space="0"/>
              <w:right w:val="single" w:color="auto" w:sz="12" w:space="0"/>
            </w:tcBorders>
            <w:vAlign w:val="center"/>
          </w:tcPr>
          <w:p w14:paraId="682C1CE2">
            <w:pPr>
              <w:widowControl w:val="0"/>
              <w:kinsoku/>
              <w:rPr>
                <w:rFonts w:ascii="Times New Roman" w:hAnsi="Times New Roman" w:eastAsia="楷体" w:cs="Times New Roman"/>
                <w:sz w:val="24"/>
              </w:rPr>
            </w:pPr>
          </w:p>
        </w:tc>
      </w:tr>
      <w:tr w14:paraId="7A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vAlign w:val="center"/>
          </w:tcPr>
          <w:p w14:paraId="2BAB1ECA">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单位地址</w:t>
            </w:r>
          </w:p>
        </w:tc>
        <w:tc>
          <w:tcPr>
            <w:tcW w:w="4943" w:type="dxa"/>
            <w:gridSpan w:val="4"/>
            <w:vAlign w:val="center"/>
          </w:tcPr>
          <w:p w14:paraId="5EC8F556">
            <w:pPr>
              <w:widowControl w:val="0"/>
              <w:kinsoku/>
              <w:rPr>
                <w:rFonts w:ascii="Times New Roman" w:hAnsi="Times New Roman" w:eastAsia="楷体" w:cs="Times New Roman"/>
                <w:sz w:val="24"/>
                <w:lang w:eastAsia="zh-CN"/>
              </w:rPr>
            </w:pPr>
          </w:p>
        </w:tc>
        <w:tc>
          <w:tcPr>
            <w:tcW w:w="1305" w:type="dxa"/>
            <w:vAlign w:val="center"/>
          </w:tcPr>
          <w:p w14:paraId="5E78C8CB">
            <w:pPr>
              <w:widowControl w:val="0"/>
              <w:kinsoku/>
              <w:jc w:val="center"/>
              <w:rPr>
                <w:rFonts w:ascii="Times New Roman" w:hAnsi="Times New Roman" w:eastAsia="黑体" w:cs="Times New Roman"/>
                <w:sz w:val="24"/>
              </w:rPr>
            </w:pPr>
            <w:r>
              <w:rPr>
                <w:rFonts w:ascii="Times New Roman" w:hAnsi="Times New Roman" w:eastAsia="黑体" w:cs="Times New Roman"/>
                <w:sz w:val="24"/>
              </w:rPr>
              <w:t>上级归口管理部门</w:t>
            </w:r>
          </w:p>
        </w:tc>
        <w:tc>
          <w:tcPr>
            <w:tcW w:w="2127" w:type="dxa"/>
            <w:tcBorders>
              <w:right w:val="single" w:color="auto" w:sz="12" w:space="0"/>
            </w:tcBorders>
            <w:vAlign w:val="center"/>
          </w:tcPr>
          <w:p w14:paraId="5ABC0ACE">
            <w:pPr>
              <w:widowControl w:val="0"/>
              <w:kinsoku/>
              <w:rPr>
                <w:rFonts w:ascii="Times New Roman" w:hAnsi="Times New Roman" w:eastAsia="楷体" w:cs="Times New Roman"/>
                <w:sz w:val="24"/>
              </w:rPr>
            </w:pPr>
          </w:p>
        </w:tc>
      </w:tr>
      <w:tr w14:paraId="399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6441E1FC">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统一社会</w:t>
            </w:r>
          </w:p>
          <w:p w14:paraId="01F92703">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信用代码</w:t>
            </w:r>
          </w:p>
        </w:tc>
        <w:tc>
          <w:tcPr>
            <w:tcW w:w="4943" w:type="dxa"/>
            <w:gridSpan w:val="4"/>
            <w:shd w:val="clear" w:color="auto" w:fill="auto"/>
            <w:vAlign w:val="center"/>
          </w:tcPr>
          <w:p w14:paraId="4E5A3EAF">
            <w:pPr>
              <w:pStyle w:val="7"/>
              <w:widowControl w:val="0"/>
              <w:kinsoku/>
              <w:spacing w:line="240" w:lineRule="exact"/>
              <w:jc w:val="center"/>
              <w:rPr>
                <w:rFonts w:ascii="Times New Roman" w:hAnsi="Times New Roman" w:eastAsia="楷体" w:cs="Times New Roman"/>
                <w:sz w:val="24"/>
                <w:szCs w:val="21"/>
              </w:rPr>
            </w:pPr>
          </w:p>
        </w:tc>
        <w:tc>
          <w:tcPr>
            <w:tcW w:w="1305" w:type="dxa"/>
            <w:shd w:val="clear" w:color="auto" w:fill="auto"/>
            <w:vAlign w:val="center"/>
          </w:tcPr>
          <w:p w14:paraId="772399F0">
            <w:pPr>
              <w:pStyle w:val="7"/>
              <w:widowControl w:val="0"/>
              <w:kinsoku/>
              <w:spacing w:line="240" w:lineRule="exact"/>
              <w:jc w:val="center"/>
              <w:rPr>
                <w:rFonts w:ascii="Times New Roman" w:hAnsi="Times New Roman" w:eastAsia="黑体" w:cs="Times New Roman"/>
                <w:sz w:val="24"/>
                <w:szCs w:val="21"/>
                <w:lang w:eastAsia="zh-CN"/>
              </w:rPr>
            </w:pPr>
            <w:r>
              <w:rPr>
                <w:rFonts w:ascii="Times New Roman" w:hAnsi="Times New Roman" w:eastAsia="黑体" w:cs="Times New Roman"/>
                <w:sz w:val="24"/>
                <w:szCs w:val="21"/>
                <w:lang w:eastAsia="zh-CN"/>
              </w:rPr>
              <w:t>有无自动</w:t>
            </w:r>
          </w:p>
          <w:p w14:paraId="2BD57F47">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szCs w:val="21"/>
                <w:lang w:eastAsia="zh-CN"/>
              </w:rPr>
              <w:t>消防设施</w:t>
            </w:r>
          </w:p>
        </w:tc>
        <w:tc>
          <w:tcPr>
            <w:tcW w:w="2127" w:type="dxa"/>
            <w:tcBorders>
              <w:right w:val="single" w:color="auto" w:sz="12" w:space="0"/>
            </w:tcBorders>
            <w:shd w:val="clear" w:color="auto" w:fill="auto"/>
            <w:vAlign w:val="center"/>
          </w:tcPr>
          <w:p w14:paraId="3880A0A2">
            <w:pPr>
              <w:pStyle w:val="7"/>
              <w:widowControl w:val="0"/>
              <w:kinsoku/>
              <w:spacing w:line="240" w:lineRule="exact"/>
              <w:jc w:val="center"/>
              <w:rPr>
                <w:rFonts w:ascii="Times New Roman" w:hAnsi="Times New Roman" w:eastAsia="楷体" w:cs="Times New Roman"/>
                <w:sz w:val="24"/>
                <w:szCs w:val="21"/>
              </w:rPr>
            </w:pPr>
            <w:r>
              <w:rPr>
                <w:rFonts w:ascii="Times New Roman" w:hAnsi="Times New Roman" w:eastAsia="楷体" w:cs="Times New Roman"/>
                <w:sz w:val="24"/>
                <w:szCs w:val="21"/>
                <w:lang w:eastAsia="zh-CN"/>
              </w:rPr>
              <w:t>□有  □无</w:t>
            </w:r>
          </w:p>
        </w:tc>
      </w:tr>
      <w:tr w14:paraId="79F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2C484612">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建筑面积</w:t>
            </w:r>
          </w:p>
          <w:p w14:paraId="6BB4EEC3">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lang w:eastAsia="zh-CN"/>
              </w:rPr>
              <w:t>（㎡）</w:t>
            </w:r>
          </w:p>
        </w:tc>
        <w:tc>
          <w:tcPr>
            <w:tcW w:w="2198" w:type="dxa"/>
            <w:gridSpan w:val="2"/>
            <w:shd w:val="clear" w:color="auto" w:fill="auto"/>
            <w:vAlign w:val="center"/>
          </w:tcPr>
          <w:p w14:paraId="1738A0F5">
            <w:pPr>
              <w:pStyle w:val="7"/>
              <w:widowControl w:val="0"/>
              <w:kinsoku/>
              <w:spacing w:line="240" w:lineRule="exact"/>
              <w:jc w:val="center"/>
              <w:rPr>
                <w:rFonts w:ascii="Times New Roman" w:hAnsi="Times New Roman" w:eastAsia="楷体" w:cs="Times New Roman"/>
                <w:sz w:val="24"/>
                <w:szCs w:val="21"/>
              </w:rPr>
            </w:pPr>
          </w:p>
        </w:tc>
        <w:tc>
          <w:tcPr>
            <w:tcW w:w="1185" w:type="dxa"/>
            <w:vAlign w:val="center"/>
          </w:tcPr>
          <w:p w14:paraId="7283A30E">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占地面积（㎡）</w:t>
            </w:r>
          </w:p>
        </w:tc>
        <w:tc>
          <w:tcPr>
            <w:tcW w:w="1560" w:type="dxa"/>
            <w:vAlign w:val="center"/>
          </w:tcPr>
          <w:p w14:paraId="3F1337F0">
            <w:pPr>
              <w:widowControl w:val="0"/>
              <w:kinsoku/>
              <w:jc w:val="center"/>
              <w:rPr>
                <w:rFonts w:ascii="Times New Roman" w:hAnsi="Times New Roman" w:eastAsia="楷体" w:cs="Times New Roman"/>
                <w:sz w:val="24"/>
              </w:rPr>
            </w:pPr>
          </w:p>
        </w:tc>
        <w:tc>
          <w:tcPr>
            <w:tcW w:w="1305" w:type="dxa"/>
            <w:vAlign w:val="center"/>
          </w:tcPr>
          <w:p w14:paraId="5F55C2BC">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建筑高度</w:t>
            </w:r>
          </w:p>
        </w:tc>
        <w:tc>
          <w:tcPr>
            <w:tcW w:w="2127" w:type="dxa"/>
            <w:tcBorders>
              <w:right w:val="single" w:color="auto" w:sz="12" w:space="0"/>
            </w:tcBorders>
            <w:vAlign w:val="center"/>
          </w:tcPr>
          <w:p w14:paraId="781C8A40">
            <w:pPr>
              <w:widowControl w:val="0"/>
              <w:kinsoku/>
              <w:rPr>
                <w:rFonts w:ascii="Times New Roman" w:hAnsi="Times New Roman" w:eastAsia="楷体" w:cs="Times New Roman"/>
                <w:sz w:val="24"/>
              </w:rPr>
            </w:pPr>
          </w:p>
        </w:tc>
      </w:tr>
      <w:tr w14:paraId="593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6" w:type="dxa"/>
            <w:gridSpan w:val="2"/>
            <w:tcBorders>
              <w:left w:val="single" w:color="auto" w:sz="12" w:space="0"/>
            </w:tcBorders>
            <w:vAlign w:val="center"/>
          </w:tcPr>
          <w:p w14:paraId="70F13F9A">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消防安全责任人</w:t>
            </w:r>
          </w:p>
        </w:tc>
        <w:tc>
          <w:tcPr>
            <w:tcW w:w="2198" w:type="dxa"/>
            <w:gridSpan w:val="2"/>
            <w:vAlign w:val="center"/>
          </w:tcPr>
          <w:p w14:paraId="7221DCD8">
            <w:pPr>
              <w:widowControl w:val="0"/>
              <w:kinsoku/>
              <w:jc w:val="center"/>
              <w:rPr>
                <w:rFonts w:ascii="Times New Roman" w:hAnsi="Times New Roman" w:eastAsia="楷体" w:cs="Times New Roman"/>
                <w:sz w:val="24"/>
                <w:lang w:eastAsia="zh-CN"/>
              </w:rPr>
            </w:pPr>
          </w:p>
        </w:tc>
        <w:tc>
          <w:tcPr>
            <w:tcW w:w="1185" w:type="dxa"/>
            <w:vAlign w:val="center"/>
          </w:tcPr>
          <w:p w14:paraId="18224BDF">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76C57829">
            <w:pPr>
              <w:widowControl w:val="0"/>
              <w:kinsoku/>
              <w:jc w:val="center"/>
              <w:rPr>
                <w:rFonts w:ascii="Times New Roman" w:hAnsi="Times New Roman" w:eastAsia="楷体" w:cs="Times New Roman"/>
                <w:sz w:val="24"/>
              </w:rPr>
            </w:pPr>
          </w:p>
        </w:tc>
        <w:tc>
          <w:tcPr>
            <w:tcW w:w="1305" w:type="dxa"/>
            <w:vAlign w:val="center"/>
          </w:tcPr>
          <w:p w14:paraId="109FA80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57FE7E3E">
            <w:pPr>
              <w:widowControl w:val="0"/>
              <w:kinsoku/>
              <w:rPr>
                <w:rFonts w:ascii="Times New Roman" w:hAnsi="Times New Roman" w:eastAsia="楷体" w:cs="Times New Roman"/>
                <w:sz w:val="24"/>
              </w:rPr>
            </w:pPr>
          </w:p>
        </w:tc>
      </w:tr>
      <w:tr w14:paraId="7CA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6" w:type="dxa"/>
            <w:gridSpan w:val="2"/>
            <w:tcBorders>
              <w:left w:val="single" w:color="auto" w:sz="12" w:space="0"/>
            </w:tcBorders>
            <w:vAlign w:val="center"/>
          </w:tcPr>
          <w:p w14:paraId="3A6B3FE5">
            <w:pPr>
              <w:widowControl w:val="0"/>
              <w:kinsoku/>
              <w:jc w:val="center"/>
              <w:rPr>
                <w:rFonts w:ascii="Times New Roman" w:hAnsi="Times New Roman" w:eastAsia="黑体" w:cs="Times New Roman"/>
                <w:sz w:val="24"/>
              </w:rPr>
            </w:pPr>
            <w:r>
              <w:rPr>
                <w:rFonts w:ascii="Times New Roman" w:hAnsi="Times New Roman" w:eastAsia="黑体" w:cs="Times New Roman"/>
                <w:sz w:val="24"/>
              </w:rPr>
              <w:t>消防安全管理人</w:t>
            </w:r>
          </w:p>
        </w:tc>
        <w:tc>
          <w:tcPr>
            <w:tcW w:w="2198" w:type="dxa"/>
            <w:gridSpan w:val="2"/>
            <w:vAlign w:val="center"/>
          </w:tcPr>
          <w:p w14:paraId="3F7EF8D3">
            <w:pPr>
              <w:widowControl w:val="0"/>
              <w:kinsoku/>
              <w:jc w:val="center"/>
              <w:rPr>
                <w:rFonts w:ascii="Times New Roman" w:hAnsi="Times New Roman" w:eastAsia="楷体" w:cs="Times New Roman"/>
                <w:sz w:val="24"/>
              </w:rPr>
            </w:pPr>
          </w:p>
        </w:tc>
        <w:tc>
          <w:tcPr>
            <w:tcW w:w="1185" w:type="dxa"/>
            <w:vAlign w:val="center"/>
          </w:tcPr>
          <w:p w14:paraId="051C9F2E">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36136A19">
            <w:pPr>
              <w:widowControl w:val="0"/>
              <w:kinsoku/>
              <w:jc w:val="center"/>
              <w:rPr>
                <w:rFonts w:ascii="Times New Roman" w:hAnsi="Times New Roman" w:eastAsia="楷体" w:cs="Times New Roman"/>
                <w:sz w:val="24"/>
              </w:rPr>
            </w:pPr>
          </w:p>
        </w:tc>
        <w:tc>
          <w:tcPr>
            <w:tcW w:w="1305" w:type="dxa"/>
            <w:vAlign w:val="center"/>
          </w:tcPr>
          <w:p w14:paraId="21DA1860">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46E5E5CE">
            <w:pPr>
              <w:widowControl w:val="0"/>
              <w:kinsoku/>
              <w:rPr>
                <w:rFonts w:ascii="Times New Roman" w:hAnsi="Times New Roman" w:eastAsia="楷体" w:cs="Times New Roman"/>
                <w:sz w:val="24"/>
              </w:rPr>
            </w:pPr>
          </w:p>
        </w:tc>
      </w:tr>
      <w:tr w14:paraId="56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56" w:type="dxa"/>
            <w:gridSpan w:val="2"/>
            <w:tcBorders>
              <w:left w:val="single" w:color="auto" w:sz="12" w:space="0"/>
            </w:tcBorders>
            <w:vAlign w:val="center"/>
          </w:tcPr>
          <w:p w14:paraId="34D97B51">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联系人</w:t>
            </w:r>
          </w:p>
        </w:tc>
        <w:tc>
          <w:tcPr>
            <w:tcW w:w="2198" w:type="dxa"/>
            <w:gridSpan w:val="2"/>
            <w:vAlign w:val="center"/>
          </w:tcPr>
          <w:p w14:paraId="165CA2FA">
            <w:pPr>
              <w:widowControl w:val="0"/>
              <w:kinsoku/>
              <w:jc w:val="center"/>
              <w:rPr>
                <w:rFonts w:ascii="Times New Roman" w:hAnsi="Times New Roman" w:eastAsia="楷体" w:cs="Times New Roman"/>
                <w:sz w:val="24"/>
                <w:lang w:eastAsia="zh-CN"/>
              </w:rPr>
            </w:pPr>
          </w:p>
        </w:tc>
        <w:tc>
          <w:tcPr>
            <w:tcW w:w="1185" w:type="dxa"/>
            <w:vAlign w:val="center"/>
          </w:tcPr>
          <w:p w14:paraId="7AE50E68">
            <w:pPr>
              <w:widowControl w:val="0"/>
              <w:kinsoku/>
              <w:jc w:val="center"/>
              <w:rPr>
                <w:rFonts w:ascii="Times New Roman" w:hAnsi="Times New Roman" w:eastAsia="黑体" w:cs="Times New Roman"/>
                <w:sz w:val="24"/>
              </w:rPr>
            </w:pPr>
            <w:r>
              <w:rPr>
                <w:rFonts w:ascii="Times New Roman" w:hAnsi="Times New Roman" w:eastAsia="黑体" w:cs="Times New Roman"/>
                <w:sz w:val="24"/>
                <w:lang w:eastAsia="zh-CN"/>
              </w:rPr>
              <w:t>职 务</w:t>
            </w:r>
          </w:p>
        </w:tc>
        <w:tc>
          <w:tcPr>
            <w:tcW w:w="1560" w:type="dxa"/>
            <w:vAlign w:val="center"/>
          </w:tcPr>
          <w:p w14:paraId="4066B7D3">
            <w:pPr>
              <w:widowControl w:val="0"/>
              <w:kinsoku/>
              <w:jc w:val="center"/>
              <w:rPr>
                <w:rFonts w:ascii="Times New Roman" w:hAnsi="Times New Roman" w:eastAsia="楷体" w:cs="Times New Roman"/>
                <w:sz w:val="24"/>
              </w:rPr>
            </w:pPr>
          </w:p>
        </w:tc>
        <w:tc>
          <w:tcPr>
            <w:tcW w:w="1305" w:type="dxa"/>
            <w:vAlign w:val="center"/>
          </w:tcPr>
          <w:p w14:paraId="3FA6DFD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7FE6DC53">
            <w:pPr>
              <w:widowControl w:val="0"/>
              <w:kinsoku/>
              <w:rPr>
                <w:rFonts w:ascii="Times New Roman" w:hAnsi="Times New Roman" w:eastAsia="楷体" w:cs="Times New Roman"/>
                <w:sz w:val="24"/>
              </w:rPr>
            </w:pPr>
          </w:p>
        </w:tc>
      </w:tr>
      <w:tr w14:paraId="79B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31" w:type="dxa"/>
            <w:gridSpan w:val="8"/>
            <w:tcBorders>
              <w:left w:val="single" w:color="auto" w:sz="12" w:space="0"/>
              <w:right w:val="single" w:color="auto" w:sz="12" w:space="0"/>
            </w:tcBorders>
            <w:shd w:val="clear" w:color="auto" w:fill="auto"/>
            <w:vAlign w:val="center"/>
          </w:tcPr>
          <w:p w14:paraId="3B6A5803">
            <w:pPr>
              <w:widowControl w:val="0"/>
              <w:kinsoku/>
              <w:jc w:val="center"/>
              <w:rPr>
                <w:rFonts w:ascii="Times New Roman" w:hAnsi="Times New Roman" w:eastAsia="楷体" w:cs="Times New Roman"/>
                <w:sz w:val="24"/>
                <w:lang w:eastAsia="zh-CN"/>
              </w:rPr>
            </w:pPr>
            <w:r>
              <w:rPr>
                <w:rFonts w:ascii="Times New Roman" w:hAnsi="Times New Roman" w:eastAsia="楷体" w:cs="Times New Roman"/>
                <w:b/>
                <w:bCs/>
                <w:sz w:val="32"/>
                <w:szCs w:val="24"/>
                <w:lang w:eastAsia="zh-CN"/>
              </w:rPr>
              <w:t>单位使用性质详情（勾选）</w:t>
            </w:r>
          </w:p>
        </w:tc>
      </w:tr>
      <w:tr w14:paraId="395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74" w:type="dxa"/>
            <w:vMerge w:val="restart"/>
            <w:tcBorders>
              <w:left w:val="single" w:color="auto" w:sz="12" w:space="0"/>
            </w:tcBorders>
            <w:shd w:val="clear" w:color="auto" w:fill="auto"/>
            <w:vAlign w:val="center"/>
          </w:tcPr>
          <w:p w14:paraId="38FDD90F">
            <w:pPr>
              <w:widowControl w:val="0"/>
              <w:kinsoku/>
              <w:spacing w:line="240" w:lineRule="exact"/>
              <w:ind w:left="425" w:hanging="425"/>
              <w:jc w:val="center"/>
              <w:rPr>
                <w:rFonts w:ascii="Times New Roman" w:hAnsi="Times New Roman" w:cs="Times New Roman"/>
                <w:b/>
                <w:bCs/>
              </w:rPr>
            </w:pPr>
            <w:r>
              <w:rPr>
                <w:rFonts w:ascii="Times New Roman" w:hAnsi="Times New Roman" w:cs="Times New Roman"/>
                <w:b/>
                <w:bCs/>
              </w:rPr>
              <w:t>1</w:t>
            </w:r>
          </w:p>
        </w:tc>
        <w:tc>
          <w:tcPr>
            <w:tcW w:w="9957" w:type="dxa"/>
            <w:gridSpan w:val="7"/>
            <w:tcBorders>
              <w:right w:val="single" w:color="auto" w:sz="12" w:space="0"/>
            </w:tcBorders>
            <w:shd w:val="clear" w:color="auto" w:fill="auto"/>
            <w:vAlign w:val="center"/>
          </w:tcPr>
          <w:p w14:paraId="7D7CD75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商场（市场）、宾馆（饭店）、体育场（馆）、会堂、公共娱乐场所等公众聚集场所：</w:t>
            </w:r>
          </w:p>
        </w:tc>
      </w:tr>
      <w:tr w14:paraId="27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474" w:type="dxa"/>
            <w:vMerge w:val="continue"/>
            <w:tcBorders>
              <w:left w:val="single" w:color="auto" w:sz="12" w:space="0"/>
            </w:tcBorders>
            <w:shd w:val="clear" w:color="auto" w:fill="auto"/>
            <w:vAlign w:val="center"/>
          </w:tcPr>
          <w:p w14:paraId="03E3B470">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18DD50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□建筑面积在3000平方米（含本数，下同）以上或经营摊位100个以上的可燃商品的商场；</w:t>
            </w:r>
          </w:p>
          <w:p w14:paraId="4931303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□占地面积超过5000平方米的室内集贸市场、固定摊位数超过200个的室内批发市场；</w:t>
            </w:r>
          </w:p>
          <w:p w14:paraId="7F12EE2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□三星级（或者相当于三星级）及以上的宾（旅）馆或者总床位数超过100张（含本数，下同）普通的旅馆及产妇住宿床位在50张以上的孕婴服务场所；</w:t>
            </w:r>
          </w:p>
          <w:p w14:paraId="1446BE3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□总建筑面积超过3000平方米地对公众开放的体育场馆、会堂、礼堂；</w:t>
            </w:r>
          </w:p>
          <w:p w14:paraId="78FBDD14">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□建筑面积超过2500平方米的影剧院、放映厅等演出、放映场所；</w:t>
            </w:r>
          </w:p>
          <w:p w14:paraId="715D42B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□建筑面积超过500平方米的歌舞厅、卡拉OK厅等歌舞娱乐场所，具有娱乐功能的夜总会、音乐茶座和餐饮场所；</w:t>
            </w:r>
          </w:p>
          <w:p w14:paraId="21D49F6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74F2F15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□建筑面积超过500平方米的剧本杀、密室逃脱等“新兴娱乐”场所。</w:t>
            </w:r>
          </w:p>
        </w:tc>
      </w:tr>
      <w:tr w14:paraId="3DE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74" w:type="dxa"/>
            <w:vMerge w:val="restart"/>
            <w:tcBorders>
              <w:left w:val="single" w:color="auto" w:sz="12" w:space="0"/>
            </w:tcBorders>
            <w:shd w:val="clear" w:color="auto" w:fill="auto"/>
            <w:vAlign w:val="center"/>
          </w:tcPr>
          <w:p w14:paraId="372303B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2</w:t>
            </w:r>
          </w:p>
        </w:tc>
        <w:tc>
          <w:tcPr>
            <w:tcW w:w="9957" w:type="dxa"/>
            <w:gridSpan w:val="7"/>
            <w:tcBorders>
              <w:right w:val="single" w:color="auto" w:sz="12" w:space="0"/>
            </w:tcBorders>
            <w:shd w:val="clear" w:color="auto" w:fill="auto"/>
            <w:vAlign w:val="center"/>
          </w:tcPr>
          <w:p w14:paraId="5551CAF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医院、养老院和寄宿制的学校、托儿所、幼儿园：</w:t>
            </w:r>
          </w:p>
        </w:tc>
      </w:tr>
      <w:tr w14:paraId="497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4" w:type="dxa"/>
            <w:vMerge w:val="continue"/>
            <w:tcBorders>
              <w:left w:val="single" w:color="auto" w:sz="12" w:space="0"/>
            </w:tcBorders>
            <w:shd w:val="clear" w:color="auto" w:fill="auto"/>
            <w:vAlign w:val="center"/>
          </w:tcPr>
          <w:p w14:paraId="156587CB">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317423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□住院床位在100张以上的医院；</w:t>
            </w:r>
          </w:p>
          <w:p w14:paraId="5E5374F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□老人住宿床位在100张以上的养老院、敬老院等老年人照料设施及福利院等；</w:t>
            </w:r>
          </w:p>
          <w:p w14:paraId="42BC25C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□学生住宿床位在300张以上的寄宿制学校；</w:t>
            </w:r>
          </w:p>
          <w:p w14:paraId="4702975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□幼儿人数在300人以上的托儿所、幼儿园或者幼儿住宿床位50张以上的托儿所、幼儿园（不含午托）。</w:t>
            </w:r>
          </w:p>
        </w:tc>
      </w:tr>
      <w:tr w14:paraId="12C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74" w:type="dxa"/>
            <w:vMerge w:val="restart"/>
            <w:tcBorders>
              <w:left w:val="single" w:color="auto" w:sz="12" w:space="0"/>
            </w:tcBorders>
            <w:shd w:val="clear" w:color="auto" w:fill="auto"/>
            <w:vAlign w:val="center"/>
          </w:tcPr>
          <w:p w14:paraId="1EFA2A3E">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3</w:t>
            </w:r>
          </w:p>
        </w:tc>
        <w:tc>
          <w:tcPr>
            <w:tcW w:w="9957" w:type="dxa"/>
            <w:gridSpan w:val="7"/>
            <w:tcBorders>
              <w:right w:val="single" w:color="auto" w:sz="12" w:space="0"/>
            </w:tcBorders>
            <w:shd w:val="clear" w:color="auto" w:fill="auto"/>
            <w:vAlign w:val="center"/>
          </w:tcPr>
          <w:p w14:paraId="7E3357F9">
            <w:pPr>
              <w:widowControl w:val="0"/>
              <w:kinsoku/>
              <w:spacing w:line="240" w:lineRule="exact"/>
              <w:rPr>
                <w:rFonts w:ascii="Times New Roman" w:hAnsi="Times New Roman" w:eastAsia="楷体" w:cs="Times New Roman"/>
              </w:rPr>
            </w:pPr>
            <w:r>
              <w:rPr>
                <w:rFonts w:ascii="Times New Roman" w:hAnsi="Times New Roman" w:eastAsia="楷体" w:cs="Times New Roman"/>
                <w:b/>
                <w:bCs/>
              </w:rPr>
              <w:t>国家机关</w:t>
            </w:r>
            <w:r>
              <w:rPr>
                <w:rFonts w:ascii="Times New Roman" w:hAnsi="Times New Roman" w:eastAsia="楷体" w:cs="Times New Roman"/>
                <w:b/>
                <w:bCs/>
                <w:lang w:eastAsia="zh-CN"/>
              </w:rPr>
              <w:t>：</w:t>
            </w:r>
          </w:p>
        </w:tc>
      </w:tr>
      <w:tr w14:paraId="5C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74" w:type="dxa"/>
            <w:vMerge w:val="continue"/>
            <w:tcBorders>
              <w:left w:val="single" w:color="auto" w:sz="12" w:space="0"/>
            </w:tcBorders>
            <w:shd w:val="clear" w:color="auto" w:fill="auto"/>
            <w:vAlign w:val="center"/>
          </w:tcPr>
          <w:p w14:paraId="5A562A09">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6C85988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□县级以上的党委、人大、政府、政协机关；□县级以上的人民检察院、人民法院。</w:t>
            </w:r>
          </w:p>
        </w:tc>
      </w:tr>
      <w:tr w14:paraId="34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74" w:type="dxa"/>
            <w:vMerge w:val="restart"/>
            <w:tcBorders>
              <w:left w:val="single" w:color="auto" w:sz="12" w:space="0"/>
            </w:tcBorders>
            <w:shd w:val="clear" w:color="auto" w:fill="auto"/>
            <w:vAlign w:val="center"/>
          </w:tcPr>
          <w:p w14:paraId="4A062869">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4</w:t>
            </w:r>
          </w:p>
        </w:tc>
        <w:tc>
          <w:tcPr>
            <w:tcW w:w="9957" w:type="dxa"/>
            <w:gridSpan w:val="7"/>
            <w:tcBorders>
              <w:right w:val="single" w:color="auto" w:sz="12" w:space="0"/>
            </w:tcBorders>
            <w:shd w:val="clear" w:color="auto" w:fill="auto"/>
            <w:vAlign w:val="center"/>
          </w:tcPr>
          <w:p w14:paraId="69491A9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广播、电视和邮政、通信枢纽：</w:t>
            </w:r>
          </w:p>
        </w:tc>
      </w:tr>
      <w:tr w14:paraId="335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4" w:type="dxa"/>
            <w:vMerge w:val="continue"/>
            <w:tcBorders>
              <w:left w:val="single" w:color="auto" w:sz="12" w:space="0"/>
            </w:tcBorders>
            <w:shd w:val="clear" w:color="auto" w:fill="auto"/>
            <w:vAlign w:val="center"/>
          </w:tcPr>
          <w:p w14:paraId="640386A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651986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□县级以上城镇的邮政、通信枢纽单位、广播电视台。</w:t>
            </w:r>
          </w:p>
        </w:tc>
      </w:tr>
      <w:tr w14:paraId="11F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color="auto" w:fill="auto"/>
            <w:vAlign w:val="center"/>
          </w:tcPr>
          <w:p w14:paraId="2B6004AA">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5</w:t>
            </w:r>
          </w:p>
        </w:tc>
        <w:tc>
          <w:tcPr>
            <w:tcW w:w="9957" w:type="dxa"/>
            <w:gridSpan w:val="7"/>
            <w:tcBorders>
              <w:right w:val="single" w:color="auto" w:sz="12" w:space="0"/>
            </w:tcBorders>
            <w:shd w:val="clear" w:color="auto" w:fill="auto"/>
            <w:vAlign w:val="center"/>
          </w:tcPr>
          <w:p w14:paraId="1D9FAEA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客运车站、民用机场：</w:t>
            </w:r>
          </w:p>
        </w:tc>
      </w:tr>
      <w:tr w14:paraId="76D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4" w:type="dxa"/>
            <w:vMerge w:val="continue"/>
            <w:tcBorders>
              <w:left w:val="single" w:color="auto" w:sz="12" w:space="0"/>
            </w:tcBorders>
            <w:shd w:val="clear" w:color="auto" w:fill="auto"/>
            <w:vAlign w:val="center"/>
          </w:tcPr>
          <w:p w14:paraId="05337B6A">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17CABB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□建筑面积超过3000平方米的客运车站候车室；□民用机场航站楼。</w:t>
            </w:r>
          </w:p>
        </w:tc>
      </w:tr>
      <w:tr w14:paraId="1A4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74" w:type="dxa"/>
            <w:vMerge w:val="restart"/>
            <w:tcBorders>
              <w:left w:val="single" w:color="auto" w:sz="12" w:space="0"/>
            </w:tcBorders>
            <w:shd w:val="clear" w:color="auto" w:fill="auto"/>
            <w:vAlign w:val="center"/>
          </w:tcPr>
          <w:p w14:paraId="6718E2C0">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6</w:t>
            </w:r>
          </w:p>
        </w:tc>
        <w:tc>
          <w:tcPr>
            <w:tcW w:w="9957" w:type="dxa"/>
            <w:gridSpan w:val="7"/>
            <w:tcBorders>
              <w:right w:val="single" w:color="auto" w:sz="12" w:space="0"/>
            </w:tcBorders>
            <w:shd w:val="clear" w:color="auto" w:fill="auto"/>
            <w:vAlign w:val="center"/>
          </w:tcPr>
          <w:p w14:paraId="40BFD49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公共图书馆、展览馆、博物馆、档案馆以及具有火灾危险性的文物保护单位：</w:t>
            </w:r>
          </w:p>
        </w:tc>
      </w:tr>
      <w:tr w14:paraId="19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360FA81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91570D1">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□建筑面积超过2000平方米的公共图书馆、展览馆；□公共博物馆、档案馆；</w:t>
            </w:r>
          </w:p>
          <w:p w14:paraId="6695C01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□具有火灾危险性的省级以上文物保护单位。</w:t>
            </w:r>
          </w:p>
        </w:tc>
      </w:tr>
      <w:tr w14:paraId="58C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dxa"/>
            <w:vMerge w:val="restart"/>
            <w:tcBorders>
              <w:left w:val="single" w:color="auto" w:sz="12" w:space="0"/>
            </w:tcBorders>
            <w:shd w:val="clear" w:color="auto" w:fill="auto"/>
            <w:vAlign w:val="center"/>
          </w:tcPr>
          <w:p w14:paraId="5C7B2C1C">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7</w:t>
            </w:r>
          </w:p>
        </w:tc>
        <w:tc>
          <w:tcPr>
            <w:tcW w:w="9957" w:type="dxa"/>
            <w:gridSpan w:val="7"/>
            <w:tcBorders>
              <w:right w:val="single" w:color="auto" w:sz="12" w:space="0"/>
            </w:tcBorders>
            <w:shd w:val="clear" w:color="auto" w:fill="auto"/>
            <w:vAlign w:val="center"/>
          </w:tcPr>
          <w:p w14:paraId="7C580B9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旅游、宗教活动场所：</w:t>
            </w:r>
          </w:p>
        </w:tc>
      </w:tr>
      <w:tr w14:paraId="6F8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2B4DE92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40143A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□4A级以上的旅游风景区；□总建筑面积超过2000平方米的宗教活动场所。</w:t>
            </w:r>
          </w:p>
        </w:tc>
      </w:tr>
      <w:tr w14:paraId="15C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4" w:type="dxa"/>
            <w:vMerge w:val="restart"/>
            <w:tcBorders>
              <w:left w:val="single" w:color="auto" w:sz="12" w:space="0"/>
            </w:tcBorders>
            <w:shd w:val="clear" w:color="auto" w:fill="auto"/>
            <w:vAlign w:val="center"/>
          </w:tcPr>
          <w:p w14:paraId="05A2F6B2">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8</w:t>
            </w:r>
          </w:p>
        </w:tc>
        <w:tc>
          <w:tcPr>
            <w:tcW w:w="9957" w:type="dxa"/>
            <w:gridSpan w:val="7"/>
            <w:tcBorders>
              <w:right w:val="single" w:color="auto" w:sz="12" w:space="0"/>
            </w:tcBorders>
            <w:shd w:val="clear" w:color="auto" w:fill="auto"/>
            <w:vAlign w:val="center"/>
          </w:tcPr>
          <w:p w14:paraId="57DEB4D9">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发电厂（站）和电网经营企业：</w:t>
            </w:r>
          </w:p>
        </w:tc>
      </w:tr>
      <w:tr w14:paraId="465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CD920B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C45B454">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□100MW以上的火力发电厂、50MW以上的水力发电厂；□承担省、市、县（区）电力调度单位；</w:t>
            </w:r>
          </w:p>
          <w:p w14:paraId="15B7C6C3">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□交流330千伏及以上、直流±500千伏及以上变电站；□储能电站。</w:t>
            </w:r>
          </w:p>
        </w:tc>
      </w:tr>
      <w:tr w14:paraId="073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dxa"/>
            <w:vMerge w:val="restart"/>
            <w:tcBorders>
              <w:left w:val="single" w:color="auto" w:sz="12" w:space="0"/>
            </w:tcBorders>
            <w:shd w:val="clear" w:color="auto" w:fill="auto"/>
            <w:vAlign w:val="center"/>
          </w:tcPr>
          <w:p w14:paraId="27A03DE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9</w:t>
            </w:r>
          </w:p>
        </w:tc>
        <w:tc>
          <w:tcPr>
            <w:tcW w:w="9957" w:type="dxa"/>
            <w:gridSpan w:val="7"/>
            <w:tcBorders>
              <w:right w:val="single" w:color="auto" w:sz="12" w:space="0"/>
            </w:tcBorders>
            <w:shd w:val="clear" w:color="auto" w:fill="auto"/>
            <w:vAlign w:val="center"/>
          </w:tcPr>
          <w:p w14:paraId="497421B5">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易燃易爆化学物品的生产、充装、存储、供应、销售单位：</w:t>
            </w:r>
          </w:p>
        </w:tc>
      </w:tr>
      <w:tr w14:paraId="631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4" w:type="dxa"/>
            <w:vMerge w:val="continue"/>
            <w:tcBorders>
              <w:left w:val="single" w:color="auto" w:sz="12" w:space="0"/>
            </w:tcBorders>
            <w:shd w:val="clear" w:color="auto" w:fill="auto"/>
            <w:vAlign w:val="center"/>
          </w:tcPr>
          <w:p w14:paraId="7168DD06">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EF41C59">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□工艺装置占地面积超过5000平方米的石化、煤化等化工单位；</w:t>
            </w:r>
          </w:p>
          <w:p w14:paraId="55F07532">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□总建筑面积超过1500平方米的甲类厂房，或者总建筑面积超过2000平方米的甲、乙类厂房；</w:t>
            </w:r>
          </w:p>
          <w:p w14:paraId="37E4E47E">
            <w:pPr>
              <w:widowControl w:val="0"/>
              <w:kinsoku/>
              <w:spacing w:line="240" w:lineRule="exact"/>
              <w:ind w:left="105" w:hanging="105" w:hangingChars="50"/>
              <w:rPr>
                <w:rFonts w:ascii="Times New Roman" w:hAnsi="Times New Roman" w:cs="Times New Roman" w:eastAsiaTheme="minorEastAsia"/>
                <w:lang w:eastAsia="zh-CN"/>
              </w:rPr>
            </w:pPr>
            <w:r>
              <w:rPr>
                <w:rFonts w:ascii="Times New Roman" w:hAnsi="Times New Roman" w:eastAsia="楷体" w:cs="Times New Roman"/>
                <w:lang w:eastAsia="zh-CN"/>
              </w:rPr>
              <w:t>□总容量500立方米以上的可燃气体灌装站、调压站。</w:t>
            </w:r>
          </w:p>
        </w:tc>
      </w:tr>
      <w:tr w14:paraId="359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4" w:type="dxa"/>
            <w:vMerge w:val="continue"/>
            <w:tcBorders>
              <w:left w:val="single" w:color="auto" w:sz="12" w:space="0"/>
            </w:tcBorders>
            <w:shd w:val="clear" w:color="auto" w:fill="auto"/>
            <w:vAlign w:val="center"/>
          </w:tcPr>
          <w:p w14:paraId="3441142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AEF243">
            <w:pPr>
              <w:widowControl w:val="0"/>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储存易燃易爆化学物品的专用仓库（堆场、储罐场所）：</w:t>
            </w:r>
          </w:p>
        </w:tc>
      </w:tr>
      <w:tr w14:paraId="7A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color="auto" w:fill="auto"/>
            <w:vAlign w:val="center"/>
          </w:tcPr>
          <w:p w14:paraId="10E370AF">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6C67E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□单座容积超过5000立方米或者总容积超过10000立方米的甲乙类储罐；</w:t>
            </w:r>
          </w:p>
          <w:p w14:paraId="3CDAF4B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□单座容积超过500立方米或者总容积超过2000立方米的液化烃（含液化石油气）储罐;</w:t>
            </w:r>
          </w:p>
          <w:p w14:paraId="0066927D">
            <w:pPr>
              <w:widowControl w:val="0"/>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□总建筑面积超过750平方米的甲类仓库，或者总建筑面积超过2000平方米的甲、乙类仓库。</w:t>
            </w:r>
          </w:p>
        </w:tc>
      </w:tr>
      <w:tr w14:paraId="06D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4" w:type="dxa"/>
            <w:vMerge w:val="restart"/>
            <w:tcBorders>
              <w:left w:val="single" w:color="auto" w:sz="12" w:space="0"/>
            </w:tcBorders>
            <w:shd w:val="clear" w:color="auto" w:fill="auto"/>
            <w:vAlign w:val="center"/>
          </w:tcPr>
          <w:p w14:paraId="238CED55">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10</w:t>
            </w:r>
          </w:p>
        </w:tc>
        <w:tc>
          <w:tcPr>
            <w:tcW w:w="9957" w:type="dxa"/>
            <w:gridSpan w:val="7"/>
            <w:tcBorders>
              <w:right w:val="single" w:color="auto" w:sz="12" w:space="0"/>
            </w:tcBorders>
            <w:shd w:val="clear" w:color="auto" w:fill="auto"/>
            <w:vAlign w:val="center"/>
          </w:tcPr>
          <w:p w14:paraId="7079AC91">
            <w:pPr>
              <w:widowControl w:val="0"/>
              <w:kinsoku/>
              <w:spacing w:line="240" w:lineRule="exact"/>
              <w:rPr>
                <w:rFonts w:ascii="Times New Roman" w:hAnsi="Times New Roman" w:eastAsia="楷体" w:cs="Times New Roman"/>
              </w:rPr>
            </w:pPr>
            <w:r>
              <w:rPr>
                <w:rFonts w:ascii="Times New Roman" w:hAnsi="Times New Roman" w:eastAsia="楷体" w:cs="Times New Roman"/>
                <w:b/>
                <w:bCs/>
                <w:lang w:eastAsia="zh-CN"/>
              </w:rPr>
              <w:t>生产、加工企业：</w:t>
            </w:r>
          </w:p>
        </w:tc>
      </w:tr>
      <w:tr w14:paraId="3FA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16D4FCF0">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03F841AF">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□生产车间员工在100人以上的服装、鞋帽、玩具、木制品、家具、塑料、食品加工和纺织、印染等劳动密集型企业；</w:t>
            </w:r>
          </w:p>
          <w:p w14:paraId="65FC766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□总建筑面积在2000平方米（西安5000平方米）以上的洁净厂房、电子厂房；</w:t>
            </w:r>
          </w:p>
          <w:p w14:paraId="2157C848">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□总建筑面积在6000平方米（西安10000平方米）以上的丙类厂房。</w:t>
            </w:r>
          </w:p>
        </w:tc>
      </w:tr>
      <w:tr w14:paraId="46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74" w:type="dxa"/>
            <w:vMerge w:val="restart"/>
            <w:tcBorders>
              <w:left w:val="single" w:color="auto" w:sz="12" w:space="0"/>
            </w:tcBorders>
            <w:shd w:val="clear" w:color="auto" w:fill="auto"/>
            <w:vAlign w:val="center"/>
          </w:tcPr>
          <w:p w14:paraId="249300B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11</w:t>
            </w:r>
          </w:p>
        </w:tc>
        <w:tc>
          <w:tcPr>
            <w:tcW w:w="9957" w:type="dxa"/>
            <w:gridSpan w:val="7"/>
            <w:tcBorders>
              <w:right w:val="single" w:color="auto" w:sz="12" w:space="0"/>
            </w:tcBorders>
            <w:shd w:val="clear" w:color="auto" w:fill="auto"/>
            <w:vAlign w:val="center"/>
          </w:tcPr>
          <w:p w14:paraId="368FD3A3">
            <w:pPr>
              <w:widowControl w:val="0"/>
              <w:kinsoku/>
              <w:spacing w:line="240" w:lineRule="exact"/>
              <w:rPr>
                <w:rFonts w:ascii="Times New Roman" w:hAnsi="Times New Roman" w:eastAsia="方正黑体_GBK" w:cs="Times New Roman"/>
              </w:rPr>
            </w:pPr>
            <w:r>
              <w:rPr>
                <w:rFonts w:ascii="Times New Roman" w:hAnsi="Times New Roman" w:eastAsia="楷体" w:cs="Times New Roman"/>
                <w:b/>
                <w:bCs/>
                <w:lang w:eastAsia="zh-CN"/>
              </w:rPr>
              <w:t>重要的科研单位：</w:t>
            </w:r>
          </w:p>
        </w:tc>
      </w:tr>
      <w:tr w14:paraId="68F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F2B6B0B">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48CA5FB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□国家和省级科研单位；□负责国家重点科研项目的科研单位；</w:t>
            </w:r>
          </w:p>
          <w:p w14:paraId="16C6F049">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□储存易燃易爆化学危险物品（甲、乙类）超过300公斤的科研单位。</w:t>
            </w:r>
          </w:p>
        </w:tc>
      </w:tr>
      <w:tr w14:paraId="2D9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4" w:type="dxa"/>
            <w:vMerge w:val="restart"/>
            <w:tcBorders>
              <w:left w:val="single" w:color="auto" w:sz="12" w:space="0"/>
            </w:tcBorders>
            <w:shd w:val="clear" w:color="auto" w:fill="auto"/>
            <w:vAlign w:val="center"/>
          </w:tcPr>
          <w:p w14:paraId="47BF3F67">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12</w:t>
            </w:r>
          </w:p>
        </w:tc>
        <w:tc>
          <w:tcPr>
            <w:tcW w:w="9957" w:type="dxa"/>
            <w:gridSpan w:val="7"/>
            <w:tcBorders>
              <w:right w:val="single" w:color="auto" w:sz="12" w:space="0"/>
            </w:tcBorders>
            <w:shd w:val="clear" w:color="auto" w:fill="auto"/>
            <w:vAlign w:val="center"/>
          </w:tcPr>
          <w:p w14:paraId="0EF023A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高层公共建筑、地下铁道、地下观光隧道、粮、棉、木材、百货等物资仓库和堆场：</w:t>
            </w:r>
          </w:p>
        </w:tc>
      </w:tr>
      <w:tr w14:paraId="424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74" w:type="dxa"/>
            <w:vMerge w:val="continue"/>
            <w:tcBorders>
              <w:left w:val="single" w:color="auto" w:sz="12" w:space="0"/>
            </w:tcBorders>
            <w:shd w:val="clear" w:color="auto" w:fill="auto"/>
            <w:vAlign w:val="center"/>
          </w:tcPr>
          <w:p w14:paraId="26B07545">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A8FA19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□超高层公共建筑、设有符合重点单位界定标准公众聚集场所的一类高层公共建筑；</w:t>
            </w:r>
          </w:p>
          <w:p w14:paraId="53363F2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□城市地下铁道、地下观光隧道等地下公共建筑和城市重要的交通隧道；</w:t>
            </w:r>
          </w:p>
          <w:p w14:paraId="632157D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□国家储备粮库、总数量10000吨以上的其他粮油仓库；</w:t>
            </w:r>
          </w:p>
          <w:p w14:paraId="1134A8E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□总储量500吨以上的棉库；</w:t>
            </w:r>
          </w:p>
          <w:p w14:paraId="2C417EA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□总储量在10000立方米以上的木材堆场；</w:t>
            </w:r>
          </w:p>
          <w:p w14:paraId="67A50F2E">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□单层占地面积超过12000平方米或者多层占地面积超过9600平方米的大型物流仓库。</w:t>
            </w:r>
          </w:p>
        </w:tc>
      </w:tr>
      <w:tr w14:paraId="69B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74" w:type="dxa"/>
            <w:vMerge w:val="restart"/>
            <w:tcBorders>
              <w:left w:val="single" w:color="auto" w:sz="12" w:space="0"/>
            </w:tcBorders>
            <w:shd w:val="clear" w:color="auto" w:fill="auto"/>
            <w:vAlign w:val="center"/>
          </w:tcPr>
          <w:p w14:paraId="50471C3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13</w:t>
            </w:r>
          </w:p>
        </w:tc>
        <w:tc>
          <w:tcPr>
            <w:tcW w:w="9957" w:type="dxa"/>
            <w:gridSpan w:val="7"/>
            <w:tcBorders>
              <w:right w:val="single" w:color="auto" w:sz="12" w:space="0"/>
            </w:tcBorders>
            <w:shd w:val="clear" w:color="auto" w:fill="auto"/>
            <w:vAlign w:val="center"/>
          </w:tcPr>
          <w:p w14:paraId="5311B76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发生火灾可能性较大以及一旦发生火灾可能造成人身重大伤亡或者财产重大损失的单位：</w:t>
            </w:r>
          </w:p>
        </w:tc>
      </w:tr>
      <w:tr w14:paraId="127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tcBorders>
              <w:left w:val="single" w:color="auto" w:sz="12" w:space="0"/>
            </w:tcBorders>
            <w:shd w:val="clear" w:color="auto" w:fill="auto"/>
            <w:vAlign w:val="center"/>
          </w:tcPr>
          <w:p w14:paraId="7F78AFA6">
            <w:pPr>
              <w:widowControl w:val="0"/>
              <w:kinsoku/>
              <w:spacing w:before="156" w:beforeLines="50" w:after="156" w:afterLines="50" w:line="240" w:lineRule="exact"/>
              <w:ind w:right="480"/>
              <w:jc w:val="center"/>
              <w:rPr>
                <w:rFonts w:ascii="Times New Roman" w:hAnsi="Times New Roman" w:eastAsia="楷体" w:cs="Times New Roman"/>
                <w:lang w:eastAsia="zh-CN"/>
              </w:rPr>
            </w:pPr>
          </w:p>
        </w:tc>
        <w:tc>
          <w:tcPr>
            <w:tcW w:w="9957" w:type="dxa"/>
            <w:gridSpan w:val="7"/>
            <w:tcBorders>
              <w:right w:val="single" w:color="auto" w:sz="12" w:space="0"/>
            </w:tcBorders>
            <w:shd w:val="clear" w:color="auto" w:fill="auto"/>
            <w:vAlign w:val="center"/>
          </w:tcPr>
          <w:p w14:paraId="1D3EEF7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□固定资产（建筑、设备、原材料等）价值在5亿元以上的电子、汽车、钢铁、烟草、航天纺织、造纸工业等企业；□银行业、保险业、证券业数据处理中心；□各银行在陕的省级分支机构。</w:t>
            </w:r>
          </w:p>
        </w:tc>
      </w:tr>
      <w:tr w14:paraId="171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3043" w:type="dxa"/>
            <w:gridSpan w:val="3"/>
            <w:tcBorders>
              <w:left w:val="single" w:color="auto" w:sz="12" w:space="0"/>
            </w:tcBorders>
            <w:vAlign w:val="center"/>
          </w:tcPr>
          <w:p w14:paraId="66365224">
            <w:pPr>
              <w:widowControl w:val="0"/>
              <w:kinsoku/>
              <w:jc w:val="center"/>
              <w:rPr>
                <w:rFonts w:hint="eastAsia" w:ascii="黑体" w:hAnsi="黑体" w:eastAsia="黑体" w:cs="Times New Roman"/>
                <w:b/>
                <w:sz w:val="24"/>
              </w:rPr>
            </w:pPr>
            <w:r>
              <w:rPr>
                <w:rFonts w:ascii="黑体" w:hAnsi="黑体" w:eastAsia="黑体" w:cs="Times New Roman"/>
                <w:sz w:val="24"/>
              </w:rPr>
              <w:t>申报单位意见</w:t>
            </w:r>
          </w:p>
        </w:tc>
        <w:tc>
          <w:tcPr>
            <w:tcW w:w="7388" w:type="dxa"/>
            <w:gridSpan w:val="5"/>
            <w:tcBorders>
              <w:right w:val="single" w:color="auto" w:sz="12" w:space="0"/>
            </w:tcBorders>
          </w:tcPr>
          <w:p w14:paraId="1656EA51">
            <w:pPr>
              <w:widowControl w:val="0"/>
              <w:kinsoku/>
              <w:spacing w:before="156" w:beforeLines="50" w:line="320" w:lineRule="exact"/>
              <w:ind w:firstLine="480" w:firstLineChars="200"/>
              <w:rPr>
                <w:rFonts w:ascii="Times New Roman" w:hAnsi="Times New Roman" w:eastAsia="楷体" w:cs="Times New Roman"/>
                <w:sz w:val="24"/>
                <w:lang w:eastAsia="zh-CN"/>
              </w:rPr>
            </w:pPr>
          </w:p>
          <w:p w14:paraId="4CFA191A">
            <w:pPr>
              <w:widowControl w:val="0"/>
              <w:kinsoku/>
              <w:spacing w:before="156" w:beforeLines="50" w:line="320" w:lineRule="exact"/>
              <w:ind w:firstLine="480" w:firstLineChars="200"/>
              <w:rPr>
                <w:rFonts w:ascii="Times New Roman" w:hAnsi="Times New Roman" w:eastAsia="楷体" w:cs="Times New Roman"/>
                <w:sz w:val="24"/>
                <w:lang w:eastAsia="zh-CN"/>
              </w:rPr>
            </w:pPr>
            <w:r>
              <w:rPr>
                <w:rFonts w:ascii="Times New Roman" w:hAnsi="Times New Roman" w:eastAsia="楷体" w:cs="Times New Roman"/>
                <w:sz w:val="24"/>
                <w:lang w:eastAsia="zh-CN"/>
              </w:rPr>
              <w:t>根据《机关、团体、企业、事业单位消防安全管理规定》《陕西省消防安全重点单位界定标准（试行）》，我单位属消防安全重点单位，特此申报。</w:t>
            </w:r>
          </w:p>
          <w:p w14:paraId="31A1D51C">
            <w:pPr>
              <w:widowControl w:val="0"/>
              <w:kinsoku/>
              <w:spacing w:line="320" w:lineRule="exact"/>
              <w:rPr>
                <w:rFonts w:ascii="Times New Roman" w:hAnsi="Times New Roman" w:eastAsia="楷体" w:cs="Times New Roman"/>
                <w:sz w:val="24"/>
                <w:lang w:eastAsia="zh-CN"/>
              </w:rPr>
            </w:pPr>
          </w:p>
          <w:p w14:paraId="287964C5">
            <w:pPr>
              <w:widowControl w:val="0"/>
              <w:kinsoku/>
              <w:spacing w:line="320" w:lineRule="exact"/>
              <w:ind w:firstLine="2160" w:firstLineChars="900"/>
              <w:rPr>
                <w:rFonts w:ascii="Times New Roman" w:hAnsi="Times New Roman" w:eastAsia="楷体" w:cs="Times New Roman"/>
                <w:sz w:val="24"/>
                <w:lang w:eastAsia="zh-CN"/>
              </w:rPr>
            </w:pPr>
          </w:p>
          <w:p w14:paraId="541BABFD">
            <w:pPr>
              <w:widowControl w:val="0"/>
              <w:kinsoku/>
              <w:spacing w:line="320" w:lineRule="exact"/>
              <w:ind w:firstLine="2160" w:firstLineChars="900"/>
              <w:rPr>
                <w:rFonts w:ascii="Times New Roman" w:hAnsi="Times New Roman" w:eastAsia="楷体" w:cs="Times New Roman"/>
                <w:sz w:val="24"/>
                <w:lang w:eastAsia="zh-CN"/>
              </w:rPr>
            </w:pPr>
            <w:r>
              <w:rPr>
                <w:rFonts w:ascii="Times New Roman" w:hAnsi="Times New Roman" w:eastAsia="楷体" w:cs="Times New Roman"/>
                <w:sz w:val="24"/>
                <w:lang w:eastAsia="zh-CN"/>
              </w:rPr>
              <w:t>消防安全责任人（签字）：</w:t>
            </w:r>
          </w:p>
          <w:p w14:paraId="44A1DB42">
            <w:pPr>
              <w:widowControl w:val="0"/>
              <w:kinsoku/>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单位（公章）：</w:t>
            </w:r>
          </w:p>
          <w:p w14:paraId="10653E5C">
            <w:pPr>
              <w:widowControl w:val="0"/>
              <w:kinsoku/>
              <w:spacing w:before="156" w:beforeLines="50" w:after="156" w:afterLines="50"/>
              <w:ind w:right="480"/>
              <w:jc w:val="center"/>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r w14:paraId="444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3043" w:type="dxa"/>
            <w:gridSpan w:val="3"/>
            <w:tcBorders>
              <w:left w:val="single" w:color="auto" w:sz="12" w:space="0"/>
            </w:tcBorders>
            <w:vAlign w:val="center"/>
          </w:tcPr>
          <w:p w14:paraId="40ED5513">
            <w:pPr>
              <w:widowControl w:val="0"/>
              <w:kinsoku/>
              <w:jc w:val="center"/>
              <w:rPr>
                <w:rFonts w:hint="eastAsia" w:ascii="黑体" w:hAnsi="黑体" w:eastAsia="黑体" w:cs="Times New Roman"/>
                <w:sz w:val="24"/>
                <w:lang w:eastAsia="zh-CN"/>
              </w:rPr>
            </w:pPr>
            <w:r>
              <w:rPr>
                <w:rFonts w:ascii="黑体" w:hAnsi="黑体" w:eastAsia="黑体" w:cs="Times New Roman"/>
                <w:sz w:val="24"/>
                <w:lang w:eastAsia="zh-CN"/>
              </w:rPr>
              <w:t>消防救援机构备案意见</w:t>
            </w:r>
          </w:p>
        </w:tc>
        <w:tc>
          <w:tcPr>
            <w:tcW w:w="7388" w:type="dxa"/>
            <w:gridSpan w:val="5"/>
            <w:tcBorders>
              <w:right w:val="single" w:color="auto" w:sz="12" w:space="0"/>
            </w:tcBorders>
          </w:tcPr>
          <w:p w14:paraId="604DBE1C">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r>
              <w:rPr>
                <w:rFonts w:ascii="Times New Roman" w:hAnsi="Times New Roman" w:eastAsia="楷体" w:cs="Times New Roman"/>
                <w:sz w:val="24"/>
                <w:lang w:eastAsia="zh-CN"/>
              </w:rPr>
              <w:t>该单位符合《陕西省消防安全重点单位界定标准（试行）》，同意备案。</w:t>
            </w:r>
          </w:p>
          <w:p w14:paraId="21831DB4">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p>
          <w:p w14:paraId="1C2F6F2D">
            <w:pPr>
              <w:widowControl w:val="0"/>
              <w:kinsoku/>
              <w:spacing w:line="320" w:lineRule="exact"/>
              <w:ind w:firstLine="3960" w:firstLineChars="1650"/>
              <w:rPr>
                <w:rFonts w:ascii="Times New Roman" w:hAnsi="Times New Roman" w:eastAsia="楷体" w:cs="Times New Roman"/>
                <w:sz w:val="24"/>
                <w:lang w:eastAsia="zh-CN"/>
              </w:rPr>
            </w:pPr>
            <w:r>
              <w:rPr>
                <w:rFonts w:ascii="Times New Roman" w:hAnsi="Times New Roman" w:eastAsia="楷体" w:cs="Times New Roman"/>
                <w:sz w:val="24"/>
                <w:lang w:eastAsia="zh-CN"/>
              </w:rPr>
              <w:t>（消防救援部门印章）</w:t>
            </w:r>
          </w:p>
          <w:p w14:paraId="4C7875B6">
            <w:pPr>
              <w:widowControl w:val="0"/>
              <w:kinsoku/>
              <w:spacing w:line="320" w:lineRule="exact"/>
              <w:ind w:firstLine="960" w:firstLineChars="400"/>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bl>
    <w:p w14:paraId="73C29812">
      <w:pPr>
        <w:widowControl w:val="0"/>
        <w:rPr>
          <w:rFonts w:ascii="Times New Roman" w:hAnsi="Times New Roman" w:cs="Times New Roman" w:eastAsiaTheme="minorEastAsia"/>
          <w:lang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E"/>
    <w:rsid w:val="0002184E"/>
    <w:rsid w:val="00083C81"/>
    <w:rsid w:val="0019395F"/>
    <w:rsid w:val="00222524"/>
    <w:rsid w:val="00246F38"/>
    <w:rsid w:val="0042142E"/>
    <w:rsid w:val="00496890"/>
    <w:rsid w:val="006C636D"/>
    <w:rsid w:val="0070329B"/>
    <w:rsid w:val="00745DDB"/>
    <w:rsid w:val="00746019"/>
    <w:rsid w:val="00813504"/>
    <w:rsid w:val="00832578"/>
    <w:rsid w:val="00A907F8"/>
    <w:rsid w:val="00BA43A5"/>
    <w:rsid w:val="00C60743"/>
    <w:rsid w:val="00CF7C74"/>
    <w:rsid w:val="00D95B38"/>
    <w:rsid w:val="0611020B"/>
    <w:rsid w:val="1ACF47E1"/>
    <w:rsid w:val="1DC97D28"/>
    <w:rsid w:val="207C542B"/>
    <w:rsid w:val="212212BA"/>
    <w:rsid w:val="27BD1CA7"/>
    <w:rsid w:val="34032591"/>
    <w:rsid w:val="39510397"/>
    <w:rsid w:val="4C3406F6"/>
    <w:rsid w:val="5CBD3DF2"/>
    <w:rsid w:val="66D34CD0"/>
    <w:rsid w:val="68644630"/>
    <w:rsid w:val="72587E32"/>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ind w:right="600"/>
    </w:pPr>
    <w:rPr>
      <w:rFonts w:ascii="仿宋_GB2312" w:hAnsi="Courier New" w:eastAsia="仿宋_GB2312" w:cs="仿宋_GB2312"/>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2BCF-DDB2-41F8-BF8D-8BC26CCCC1D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1899</Words>
  <Characters>2027</Characters>
  <Lines>16</Lines>
  <Paragraphs>4</Paragraphs>
  <TotalTime>38</TotalTime>
  <ScaleCrop>false</ScaleCrop>
  <LinksUpToDate>false</LinksUpToDate>
  <CharactersWithSpaces>2121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2025-02-19T10:16:00Z</dcterms:created>
  <dc:creator>Administrator</dc:creator>
  <cp:lastModifiedBy>Administrator</cp:lastModifiedBy>
  <cp:lastPrinted>2025-02-19T10:14:00Z</cp:lastPrinted>
  <dcterms:modified xsi:type="dcterms:W3CDTF">2025-02-21T02:15:11Z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eyJoZGlkIjoiYzMwMDFlM2M2ODczNmVlZWJmMzdjYjEzZGJjNjVhNGMiLCJ1c2VySWQiOiI5OTY2NTg1MjEifQ==</vt:lpwstr>
  </property>
  <property fmtid="{D5CDD505-2E9C-101B-9397-08002B2CF9AE}" pid="4" name="ICV">
    <vt:lpwstr>DFC6EC1E9EFD40969C4C1FC5F0ED82A3_13</vt:lpwstr>
  </property>
</Properties>
</file>