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41"/>
          <w:tab w:val="left" w:pos="1257"/>
          <w:tab w:val="left" w:pos="2504"/>
          <w:tab w:val="left" w:pos="3885"/>
        </w:tabs>
        <w:snapToGrid w:val="0"/>
        <w:ind w:firstLine="0" w:firstLineChars="0"/>
        <w:jc w:val="left"/>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lang w:eastAsia="zh-CN"/>
        </w:rPr>
        <w:t>附件</w:t>
      </w:r>
      <w:r>
        <w:rPr>
          <w:rFonts w:hint="eastAsia" w:ascii="方正黑体简体" w:hAnsi="宋体" w:eastAsia="方正黑体简体" w:cs="宋体"/>
          <w:kern w:val="0"/>
          <w:sz w:val="32"/>
          <w:szCs w:val="32"/>
        </w:rPr>
        <w:t>1</w:t>
      </w:r>
    </w:p>
    <w:p>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lang w:eastAsia="zh-CN"/>
        </w:rPr>
        <w:t>西乡县</w:t>
      </w:r>
      <w:r>
        <w:rPr>
          <w:rFonts w:hint="eastAsia" w:ascii="方正小标宋简体" w:hAnsi="宋体" w:eastAsia="方正小标宋简体" w:cs="宋体"/>
          <w:bCs/>
          <w:kern w:val="0"/>
          <w:sz w:val="36"/>
          <w:szCs w:val="36"/>
        </w:rPr>
        <w:t>政府</w:t>
      </w:r>
      <w:bookmarkStart w:id="0" w:name="_GoBack"/>
      <w:r>
        <w:rPr>
          <w:rFonts w:hint="eastAsia" w:ascii="方正小标宋简体" w:hAnsi="宋体" w:eastAsia="方正小标宋简体" w:cs="宋体"/>
          <w:bCs/>
          <w:kern w:val="0"/>
          <w:sz w:val="36"/>
          <w:szCs w:val="36"/>
        </w:rPr>
        <w:t>性</w:t>
      </w:r>
      <w:bookmarkEnd w:id="0"/>
      <w:r>
        <w:rPr>
          <w:rFonts w:hint="eastAsia" w:ascii="方正小标宋简体" w:hAnsi="宋体" w:eastAsia="方正小标宋简体" w:cs="宋体"/>
          <w:bCs/>
          <w:kern w:val="0"/>
          <w:sz w:val="36"/>
          <w:szCs w:val="36"/>
        </w:rPr>
        <w:t>基金目录清单</w:t>
      </w:r>
    </w:p>
    <w:tbl>
      <w:tblPr>
        <w:tblStyle w:val="2"/>
        <w:tblW w:w="1275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1078"/>
        <w:gridCol w:w="868"/>
        <w:gridCol w:w="3150"/>
        <w:gridCol w:w="937"/>
        <w:gridCol w:w="2079"/>
        <w:gridCol w:w="2848"/>
        <w:gridCol w:w="127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520"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项目序号</w:t>
            </w:r>
          </w:p>
        </w:tc>
        <w:tc>
          <w:tcPr>
            <w:tcW w:w="1078"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项目名称</w:t>
            </w:r>
          </w:p>
        </w:tc>
        <w:tc>
          <w:tcPr>
            <w:tcW w:w="868"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资金管理方式</w:t>
            </w:r>
          </w:p>
        </w:tc>
        <w:tc>
          <w:tcPr>
            <w:tcW w:w="3150"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政策依据</w:t>
            </w:r>
          </w:p>
        </w:tc>
        <w:tc>
          <w:tcPr>
            <w:tcW w:w="937"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执收部门（单位）</w:t>
            </w:r>
          </w:p>
        </w:tc>
        <w:tc>
          <w:tcPr>
            <w:tcW w:w="2079"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征收对象</w:t>
            </w:r>
          </w:p>
        </w:tc>
        <w:tc>
          <w:tcPr>
            <w:tcW w:w="2848"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征收标准</w:t>
            </w:r>
          </w:p>
        </w:tc>
        <w:tc>
          <w:tcPr>
            <w:tcW w:w="1278" w:type="dxa"/>
            <w:noWrap w:val="0"/>
            <w:vAlign w:val="center"/>
          </w:tcPr>
          <w:p>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备  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26" w:hRule="atLeast"/>
          <w:jc w:val="center"/>
        </w:trPr>
        <w:tc>
          <w:tcPr>
            <w:tcW w:w="520" w:type="dxa"/>
            <w:noWrap w:val="0"/>
            <w:vAlign w:val="center"/>
          </w:tcPr>
          <w:p>
            <w:pPr>
              <w:widowControl/>
              <w:snapToGrid w:val="0"/>
              <w:ind w:firstLine="0" w:firstLineChars="0"/>
              <w:jc w:val="center"/>
              <w:rPr>
                <w:rFonts w:ascii="宋体" w:hAnsi="宋体" w:eastAsia="宋体" w:cs="宋体"/>
                <w:kern w:val="0"/>
              </w:rPr>
            </w:pPr>
            <w:r>
              <w:rPr>
                <w:rFonts w:hint="eastAsia" w:ascii="宋体" w:hAnsi="宋体" w:eastAsia="宋体" w:cs="宋体"/>
                <w:kern w:val="0"/>
              </w:rPr>
              <w:t>1</w:t>
            </w:r>
          </w:p>
        </w:tc>
        <w:tc>
          <w:tcPr>
            <w:tcW w:w="1078" w:type="dxa"/>
            <w:noWrap w:val="0"/>
            <w:vAlign w:val="center"/>
          </w:tcPr>
          <w:p>
            <w:pPr>
              <w:widowControl/>
              <w:snapToGrid w:val="0"/>
              <w:ind w:firstLine="0" w:firstLineChars="0"/>
              <w:rPr>
                <w:rFonts w:ascii="宋体" w:hAnsi="宋体" w:eastAsia="宋体" w:cs="宋体"/>
                <w:kern w:val="0"/>
              </w:rPr>
            </w:pPr>
            <w:r>
              <w:rPr>
                <w:rFonts w:hint="eastAsia" w:ascii="宋体" w:hAnsi="宋体" w:eastAsia="宋体" w:cs="宋体"/>
                <w:kern w:val="0"/>
              </w:rPr>
              <w:t>国家重大水利工程建设基金</w:t>
            </w:r>
          </w:p>
        </w:tc>
        <w:tc>
          <w:tcPr>
            <w:tcW w:w="868" w:type="dxa"/>
            <w:noWrap w:val="0"/>
            <w:vAlign w:val="center"/>
          </w:tcPr>
          <w:p>
            <w:pPr>
              <w:widowControl/>
              <w:snapToGrid w:val="0"/>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snapToGrid w:val="0"/>
              <w:ind w:firstLine="0" w:firstLineChars="0"/>
              <w:rPr>
                <w:rFonts w:ascii="宋体" w:hAnsi="宋体" w:eastAsia="宋体" w:cs="宋体"/>
                <w:kern w:val="0"/>
              </w:rPr>
            </w:pPr>
            <w:r>
              <w:rPr>
                <w:rFonts w:hint="eastAsia" w:ascii="宋体" w:hAnsi="宋体" w:eastAsia="宋体" w:cs="宋体"/>
                <w:kern w:val="0"/>
              </w:rPr>
              <w:t>财综〔2009〕90号，财综〔2010〕97号，财税〔2010〕44号，财综〔2013〕103号，财税〔2015〕80号，财办税〔2015〕4号，财税〔2017〕51号，财办税〔2017〕60号，陕财税〔2017〕43号，财税〔2018〕39号，陕财税〔2018〕7号，财税〔2019〕46号，陕财税〔2019〕15号，陕财办税〔2020〕4号</w:t>
            </w:r>
          </w:p>
        </w:tc>
        <w:tc>
          <w:tcPr>
            <w:tcW w:w="937" w:type="dxa"/>
            <w:noWrap w:val="0"/>
            <w:vAlign w:val="center"/>
          </w:tcPr>
          <w:p>
            <w:pPr>
              <w:widowControl/>
              <w:snapToGrid w:val="0"/>
              <w:ind w:firstLine="0" w:firstLineChars="0"/>
              <w:jc w:val="center"/>
              <w:rPr>
                <w:rFonts w:ascii="宋体" w:hAnsi="宋体" w:eastAsia="宋体" w:cs="宋体"/>
                <w:kern w:val="0"/>
              </w:rPr>
            </w:pPr>
            <w:r>
              <w:rPr>
                <w:rFonts w:hint="eastAsia" w:ascii="宋体" w:hAnsi="宋体" w:eastAsia="宋体" w:cs="宋体"/>
                <w:kern w:val="0"/>
              </w:rPr>
              <w:t>税务机关</w:t>
            </w:r>
          </w:p>
        </w:tc>
        <w:tc>
          <w:tcPr>
            <w:tcW w:w="2079" w:type="dxa"/>
            <w:noWrap w:val="0"/>
            <w:vAlign w:val="center"/>
          </w:tcPr>
          <w:p>
            <w:pPr>
              <w:widowControl/>
              <w:snapToGrid w:val="0"/>
              <w:ind w:firstLine="0" w:firstLineChars="0"/>
              <w:rPr>
                <w:rFonts w:hint="eastAsia" w:ascii="宋体" w:hAnsi="宋体" w:eastAsia="宋体" w:cs="宋体"/>
                <w:kern w:val="0"/>
              </w:rPr>
            </w:pPr>
            <w:r>
              <w:rPr>
                <w:rFonts w:hint="eastAsia" w:ascii="宋体" w:hAnsi="宋体" w:eastAsia="宋体" w:cs="宋体"/>
                <w:kern w:val="0"/>
              </w:rPr>
              <w:t>重大水利工程建设基金在全省范围内筹集，按照全省扣除国家扶贫开发工作重点县农业排灌用电后的全部销售电量和规定征收标准计征。</w:t>
            </w:r>
          </w:p>
        </w:tc>
        <w:tc>
          <w:tcPr>
            <w:tcW w:w="2848" w:type="dxa"/>
            <w:noWrap w:val="0"/>
            <w:vAlign w:val="center"/>
          </w:tcPr>
          <w:p>
            <w:pPr>
              <w:widowControl/>
              <w:snapToGrid w:val="0"/>
              <w:ind w:firstLine="0" w:firstLineChars="0"/>
              <w:rPr>
                <w:rFonts w:hint="eastAsia" w:ascii="宋体" w:hAnsi="宋体" w:eastAsia="宋体" w:cs="宋体"/>
                <w:kern w:val="0"/>
              </w:rPr>
            </w:pPr>
            <w:r>
              <w:rPr>
                <w:rFonts w:hint="eastAsia" w:ascii="宋体" w:hAnsi="宋体" w:eastAsia="宋体" w:cs="宋体"/>
                <w:kern w:val="0"/>
              </w:rPr>
              <w:t>附加在电价上征收，1.125厘/千瓦时</w:t>
            </w:r>
          </w:p>
        </w:tc>
        <w:tc>
          <w:tcPr>
            <w:tcW w:w="1278" w:type="dxa"/>
            <w:noWrap w:val="0"/>
            <w:vAlign w:val="center"/>
          </w:tcPr>
          <w:p>
            <w:pPr>
              <w:widowControl/>
              <w:snapToGrid w:val="0"/>
              <w:ind w:firstLine="0" w:firstLineChars="0"/>
              <w:rPr>
                <w:rFonts w:ascii="宋体" w:hAnsi="宋体" w:eastAsia="宋体" w:cs="宋体"/>
                <w:kern w:val="0"/>
              </w:rPr>
            </w:pPr>
            <w:r>
              <w:rPr>
                <w:rFonts w:ascii="宋体" w:hAnsi="宋体" w:eastAsia="宋体" w:cs="宋体"/>
                <w:kern w:val="0"/>
              </w:rPr>
              <w:t>国家重大水利建设基金征收至2025年12月31日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40" w:hRule="atLeast"/>
          <w:jc w:val="center"/>
        </w:trPr>
        <w:tc>
          <w:tcPr>
            <w:tcW w:w="520" w:type="dxa"/>
            <w:noWrap w:val="0"/>
            <w:vAlign w:val="center"/>
          </w:tcPr>
          <w:p>
            <w:pPr>
              <w:widowControl/>
              <w:snapToGrid w:val="0"/>
              <w:ind w:firstLine="0" w:firstLineChars="0"/>
              <w:jc w:val="center"/>
              <w:rPr>
                <w:rFonts w:ascii="宋体" w:hAnsi="宋体" w:eastAsia="宋体" w:cs="宋体"/>
                <w:kern w:val="0"/>
              </w:rPr>
            </w:pPr>
            <w:r>
              <w:rPr>
                <w:rFonts w:hint="eastAsia" w:ascii="宋体" w:hAnsi="宋体" w:eastAsia="宋体" w:cs="宋体"/>
                <w:kern w:val="0"/>
              </w:rPr>
              <w:t>2</w:t>
            </w:r>
          </w:p>
        </w:tc>
        <w:tc>
          <w:tcPr>
            <w:tcW w:w="1078" w:type="dxa"/>
            <w:noWrap w:val="0"/>
            <w:vAlign w:val="center"/>
          </w:tcPr>
          <w:p>
            <w:pPr>
              <w:widowControl/>
              <w:snapToGrid w:val="0"/>
              <w:ind w:firstLine="0" w:firstLineChars="0"/>
              <w:rPr>
                <w:rFonts w:ascii="宋体" w:hAnsi="宋体" w:eastAsia="宋体" w:cs="宋体"/>
                <w:kern w:val="0"/>
              </w:rPr>
            </w:pPr>
            <w:r>
              <w:rPr>
                <w:rFonts w:hint="eastAsia" w:ascii="宋体" w:hAnsi="宋体" w:eastAsia="宋体" w:cs="宋体"/>
                <w:kern w:val="0"/>
              </w:rPr>
              <w:t>水利建设基金</w:t>
            </w:r>
          </w:p>
        </w:tc>
        <w:tc>
          <w:tcPr>
            <w:tcW w:w="868" w:type="dxa"/>
            <w:noWrap w:val="0"/>
            <w:vAlign w:val="center"/>
          </w:tcPr>
          <w:p>
            <w:pPr>
              <w:widowControl/>
              <w:snapToGrid w:val="0"/>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snapToGrid w:val="0"/>
              <w:ind w:firstLine="0" w:firstLineChars="0"/>
              <w:rPr>
                <w:rFonts w:hint="eastAsia" w:ascii="宋体" w:hAnsi="宋体" w:eastAsia="宋体" w:cs="宋体"/>
                <w:kern w:val="0"/>
              </w:rPr>
            </w:pPr>
            <w:r>
              <w:rPr>
                <w:rFonts w:hint="eastAsia" w:ascii="宋体" w:hAnsi="宋体" w:eastAsia="宋体" w:cs="宋体"/>
                <w:kern w:val="0"/>
              </w:rPr>
              <w:t>财综字〔1998〕125号，财综〔2011〕2号，财综函〔2011〕33号，财办综〔2011〕111号，陕财办综〔2015〕154号，财税函〔2016〕291号，财税〔2016〕12号，财税〔2017〕18号，陕财办综〔2017〕17号，陕财办综〔2018〕3号，陕财办综〔2019〕25号，陕财办税〔2020〕4号，陕财办综〔2021〕9号</w:t>
            </w:r>
          </w:p>
        </w:tc>
        <w:tc>
          <w:tcPr>
            <w:tcW w:w="937" w:type="dxa"/>
            <w:noWrap w:val="0"/>
            <w:vAlign w:val="center"/>
          </w:tcPr>
          <w:p>
            <w:pPr>
              <w:widowControl/>
              <w:snapToGrid w:val="0"/>
              <w:ind w:firstLine="0" w:firstLineChars="0"/>
              <w:rPr>
                <w:rFonts w:ascii="宋体" w:hAnsi="宋体" w:eastAsia="宋体" w:cs="宋体"/>
                <w:kern w:val="0"/>
              </w:rPr>
            </w:pPr>
            <w:r>
              <w:rPr>
                <w:rFonts w:hint="eastAsia" w:ascii="宋体" w:hAnsi="宋体" w:eastAsia="宋体" w:cs="宋体"/>
                <w:kern w:val="0"/>
              </w:rPr>
              <w:t>税务机关</w:t>
            </w:r>
          </w:p>
        </w:tc>
        <w:tc>
          <w:tcPr>
            <w:tcW w:w="2079" w:type="dxa"/>
            <w:noWrap w:val="0"/>
            <w:vAlign w:val="center"/>
          </w:tcPr>
          <w:p>
            <w:pPr>
              <w:widowControl/>
              <w:snapToGrid w:val="0"/>
              <w:ind w:firstLine="0" w:firstLineChars="0"/>
              <w:jc w:val="left"/>
              <w:rPr>
                <w:rFonts w:hint="eastAsia" w:ascii="宋体" w:hAnsi="宋体" w:eastAsia="宋体" w:cs="宋体"/>
                <w:kern w:val="0"/>
              </w:rPr>
            </w:pPr>
            <w:r>
              <w:rPr>
                <w:rFonts w:hint="eastAsia" w:ascii="宋体" w:hAnsi="宋体" w:eastAsia="宋体" w:cs="宋体"/>
                <w:kern w:val="0"/>
              </w:rPr>
              <w:t>中央水利建设基金从车辆购置税、铁路建设基金等收入中提取；地方水利建设基金从地方收取的部分税费收入中提取，省级收入从国家对本省成品油价格和税费改革转移支付资金中按每年2200万元的标准划转；从车辆通行费收入中划转3%。</w:t>
            </w:r>
          </w:p>
        </w:tc>
        <w:tc>
          <w:tcPr>
            <w:tcW w:w="2848" w:type="dxa"/>
            <w:noWrap w:val="0"/>
            <w:vAlign w:val="center"/>
          </w:tcPr>
          <w:p>
            <w:pPr>
              <w:widowControl/>
              <w:snapToGrid w:val="0"/>
              <w:ind w:firstLine="0" w:firstLineChars="0"/>
              <w:rPr>
                <w:rFonts w:hint="eastAsia" w:ascii="宋体" w:hAnsi="宋体" w:eastAsia="宋体" w:cs="宋体"/>
                <w:kern w:val="0"/>
              </w:rPr>
            </w:pPr>
            <w:r>
              <w:rPr>
                <w:rFonts w:hint="eastAsia" w:ascii="宋体" w:hAnsi="宋体" w:eastAsia="宋体" w:cs="宋体"/>
                <w:kern w:val="0"/>
              </w:rPr>
              <w:t>（1）除村集体所属的单位及个人外，企业事业单位及个人使用水浇地、水田、旱地进行非农建设的，每亩分别一次性征收800元―1000元、500元―700元、300元―500元，使用其他土地每亩一次性征收200元。</w:t>
            </w:r>
          </w:p>
          <w:p>
            <w:pPr>
              <w:widowControl/>
              <w:snapToGrid w:val="0"/>
              <w:ind w:firstLine="0" w:firstLineChars="0"/>
              <w:rPr>
                <w:rFonts w:hint="eastAsia" w:ascii="宋体" w:hAnsi="宋体" w:eastAsia="宋体" w:cs="宋体"/>
                <w:kern w:val="0"/>
              </w:rPr>
            </w:pPr>
            <w:r>
              <w:rPr>
                <w:rFonts w:hint="eastAsia" w:ascii="宋体" w:hAnsi="宋体" w:eastAsia="宋体" w:cs="宋体"/>
                <w:kern w:val="0"/>
              </w:rPr>
              <w:t>（2）银行按利息收入的0.5</w:t>
            </w:r>
            <w:r>
              <w:rPr>
                <w:rFonts w:hint="eastAsia" w:ascii="宋体" w:hAnsi="宋体" w:eastAsia="宋体" w:cs="汉仪瑞意宋简"/>
                <w:kern w:val="0"/>
              </w:rPr>
              <w:t>‰</w:t>
            </w:r>
            <w:r>
              <w:rPr>
                <w:rFonts w:hint="eastAsia" w:ascii="宋体" w:hAnsi="宋体" w:eastAsia="宋体" w:cs="宋体"/>
                <w:kern w:val="0"/>
              </w:rPr>
              <w:t>，保险公司按保费收入的0.5</w:t>
            </w:r>
            <w:r>
              <w:rPr>
                <w:rFonts w:hint="eastAsia" w:ascii="宋体" w:hAnsi="宋体" w:eastAsia="宋体" w:cs="汉仪瑞意宋简"/>
                <w:kern w:val="0"/>
              </w:rPr>
              <w:t>‰</w:t>
            </w:r>
            <w:r>
              <w:rPr>
                <w:rFonts w:hint="eastAsia" w:ascii="宋体" w:hAnsi="宋体" w:eastAsia="宋体" w:cs="宋体"/>
                <w:kern w:val="0"/>
              </w:rPr>
              <w:t>，依法设立的非银行金融机构按主营业务收入的1</w:t>
            </w:r>
            <w:r>
              <w:rPr>
                <w:rFonts w:hint="eastAsia" w:ascii="宋体" w:hAnsi="宋体" w:eastAsia="宋体" w:cs="汉仪瑞意宋简"/>
                <w:kern w:val="0"/>
              </w:rPr>
              <w:t>‰</w:t>
            </w:r>
            <w:r>
              <w:rPr>
                <w:rFonts w:hint="eastAsia" w:ascii="宋体" w:hAnsi="宋体" w:eastAsia="宋体" w:cs="宋体"/>
                <w:kern w:val="0"/>
              </w:rPr>
              <w:t>，其它企业事业单位和个体经营者按销售商品收入和提供劳务收入的0.8</w:t>
            </w:r>
            <w:r>
              <w:rPr>
                <w:rFonts w:hint="eastAsia" w:ascii="宋体" w:hAnsi="宋体" w:eastAsia="宋体" w:cs="汉仪瑞意宋简"/>
                <w:kern w:val="0"/>
              </w:rPr>
              <w:t>‰</w:t>
            </w:r>
            <w:r>
              <w:rPr>
                <w:rFonts w:hint="eastAsia" w:ascii="宋体" w:hAnsi="宋体" w:eastAsia="宋体" w:cs="宋体"/>
                <w:kern w:val="0"/>
              </w:rPr>
              <w:t>缴纳水利建设基金。</w:t>
            </w:r>
          </w:p>
        </w:tc>
        <w:tc>
          <w:tcPr>
            <w:tcW w:w="1278" w:type="dxa"/>
            <w:noWrap w:val="0"/>
            <w:vAlign w:val="center"/>
          </w:tcPr>
          <w:p>
            <w:pPr>
              <w:widowControl/>
              <w:snapToGrid w:val="0"/>
              <w:ind w:firstLine="0" w:firstLineChars="0"/>
              <w:rPr>
                <w:rFonts w:hint="eastAsia" w:ascii="宋体" w:hAnsi="宋体" w:eastAsia="宋体" w:cs="宋体"/>
                <w:kern w:val="0"/>
              </w:rPr>
            </w:pPr>
            <w:r>
              <w:rPr>
                <w:rFonts w:hint="eastAsia" w:ascii="宋体" w:hAnsi="宋体" w:eastAsia="宋体" w:cs="宋体"/>
                <w:kern w:val="0"/>
              </w:rPr>
              <w:t>水利建设基金起征点与增值税起征点相同。水利建设基金可计入成本。水利建设基金收入由各级征收部门就地征收、分级入库。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1"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3</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城市基础设施配套费</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国发〔1998〕34号，计价格〔2001〕585号，财综函〔2002〕3号，陕价行发〔2005〕17号，陕价商发〔2012〕123号，财税〔2019〕53号，陕财税〔2019〕18号，财政部 税务总局 发展改革委 民政部 商务部 卫生健康委公告2019年第76号</w:t>
            </w:r>
          </w:p>
        </w:tc>
        <w:tc>
          <w:tcPr>
            <w:tcW w:w="937" w:type="dxa"/>
            <w:noWrap w:val="0"/>
            <w:vAlign w:val="center"/>
          </w:tcPr>
          <w:p>
            <w:pPr>
              <w:widowControl/>
              <w:ind w:firstLine="0" w:firstLineChars="0"/>
              <w:jc w:val="left"/>
              <w:rPr>
                <w:rFonts w:ascii="宋体" w:hAnsi="宋体" w:eastAsia="宋体" w:cs="宋体"/>
                <w:kern w:val="0"/>
              </w:rPr>
            </w:pPr>
            <w:r>
              <w:rPr>
                <w:rFonts w:hint="eastAsia" w:ascii="宋体" w:hAnsi="宋体" w:eastAsia="宋体" w:cs="宋体"/>
                <w:kern w:val="0"/>
              </w:rPr>
              <w:t>地方城乡建设部门（自然资源部门）</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在我省城市规划区范围内新建、扩建和改建工程项目的单位和个人</w:t>
            </w:r>
          </w:p>
        </w:tc>
        <w:tc>
          <w:tcPr>
            <w:tcW w:w="284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省统一制定征收管理办法，授权各设区市人民政府制定具体标准。详见各地市文件。</w:t>
            </w:r>
          </w:p>
        </w:tc>
        <w:tc>
          <w:tcPr>
            <w:tcW w:w="1278" w:type="dxa"/>
            <w:noWrap w:val="0"/>
            <w:vAlign w:val="center"/>
          </w:tcPr>
          <w:p>
            <w:pPr>
              <w:widowControl/>
              <w:ind w:firstLine="0" w:firstLineChars="0"/>
              <w:jc w:val="left"/>
              <w:rPr>
                <w:rFonts w:hint="eastAsia" w:ascii="宋体" w:hAnsi="宋体" w:eastAsia="宋体" w:cs="宋体"/>
                <w:kern w:val="0"/>
              </w:rPr>
            </w:pPr>
            <w:r>
              <w:rPr>
                <w:rFonts w:hint="eastAsia" w:ascii="宋体" w:hAnsi="宋体" w:eastAsia="宋体" w:cs="宋体"/>
                <w:kern w:val="0"/>
              </w:rPr>
              <w:t>自2019年7月1日起，对易地扶贫搬迁项目免征。自2019年6月1日至2025年12月31日，用于提供社区养老、托育、家政服务的建设项目免征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4"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4</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教育费附加</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国发〔1986〕50号（国务院令第60号修改发布），国发明电〔1994〕2号、23号，财综〔2007〕53号，国发〔2010〕35号，财税〔2010〕103号，财税〔2016〕12号，财税〔2018〕70号，财税〔2019〕13号，财税〔2019〕21号，财税〔2019〕22号，陕财税〔2019〕5号，财税〔2019〕46号，陕财税〔2019〕15号，财政部、税务总局、国家发展改革委、民政部、商务部、卫生健康委公告2019年第76号</w:t>
            </w:r>
          </w:p>
        </w:tc>
        <w:tc>
          <w:tcPr>
            <w:tcW w:w="937"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税务机关</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缴纳增值税、消费税的单位和个人。</w:t>
            </w:r>
          </w:p>
        </w:tc>
        <w:tc>
          <w:tcPr>
            <w:tcW w:w="284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按纳税人实际缴纳的增值税、消费税税额的3%计征。</w:t>
            </w:r>
          </w:p>
          <w:p>
            <w:pPr>
              <w:widowControl/>
              <w:ind w:firstLine="0" w:firstLineChars="0"/>
              <w:rPr>
                <w:rFonts w:hint="eastAsia" w:ascii="宋体" w:hAnsi="宋体" w:eastAsia="宋体" w:cs="宋体"/>
                <w:kern w:val="0"/>
              </w:rPr>
            </w:pPr>
            <w:r>
              <w:rPr>
                <w:rFonts w:hint="eastAsia" w:ascii="宋体" w:hAnsi="宋体" w:eastAsia="宋体" w:cs="宋体"/>
                <w:kern w:val="0"/>
              </w:rPr>
              <w:t>自2016年2月1日起，纳税的月销售额或营业额不超过10万元（含10万元）以及按季纳税的季度销售额或营业额不超过30万元（含30万元）的缴纳义务人免征。对增值税小规模纳税人按照税额的50%减征。自2019年1月1日起，纳入产教融合型企业建设培育范围的试点企业，符合规定的，可按投资额的30%比例，抵免当年应缴教育费附加。</w:t>
            </w:r>
          </w:p>
        </w:tc>
        <w:tc>
          <w:tcPr>
            <w:tcW w:w="1278"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2"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5</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地方教育附加</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中华人民共和国教育法》，财综〔2004〕73号，财综〔2007〕53号，财综〔2010〕98号，陕政办发〔2011〕10号，财税〔2016〕12号，财税〔2018〕70号，财税〔2019〕13号，财税〔2019〕21号，财税〔2019〕22号，财税〔2019〕46号，陕财税〔2019〕5号，陕财税〔2019〕15号，财政部、税务总局、国家发展改革委、民政部、商务部、卫生健康委公告2019年第76号，</w:t>
            </w:r>
            <w:r>
              <w:rPr>
                <w:rFonts w:hint="eastAsia" w:ascii="宋体" w:hAnsi="宋体" w:eastAsia="宋体" w:cs="宋体"/>
                <w:kern w:val="0"/>
              </w:rPr>
              <w:t>陕财税〔2020〕20号</w:t>
            </w:r>
          </w:p>
        </w:tc>
        <w:tc>
          <w:tcPr>
            <w:tcW w:w="937" w:type="dxa"/>
            <w:noWrap w:val="0"/>
            <w:vAlign w:val="center"/>
          </w:tcPr>
          <w:p>
            <w:pPr>
              <w:widowControl/>
              <w:ind w:firstLine="0" w:firstLineChars="0"/>
              <w:rPr>
                <w:rFonts w:ascii="宋体" w:hAnsi="宋体" w:eastAsia="宋体" w:cs="宋体"/>
                <w:spacing w:val="-4"/>
                <w:kern w:val="0"/>
              </w:rPr>
            </w:pPr>
            <w:r>
              <w:rPr>
                <w:rFonts w:hint="eastAsia" w:ascii="宋体" w:hAnsi="宋体" w:eastAsia="宋体" w:cs="宋体"/>
                <w:spacing w:val="-4"/>
                <w:kern w:val="0"/>
              </w:rPr>
              <w:t>税务机关</w:t>
            </w:r>
          </w:p>
        </w:tc>
        <w:tc>
          <w:tcPr>
            <w:tcW w:w="2079" w:type="dxa"/>
            <w:noWrap w:val="0"/>
            <w:vAlign w:val="center"/>
          </w:tcPr>
          <w:p>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缴纳增值税、消费税的单位和个人</w:t>
            </w:r>
          </w:p>
        </w:tc>
        <w:tc>
          <w:tcPr>
            <w:tcW w:w="2848" w:type="dxa"/>
            <w:noWrap w:val="0"/>
            <w:vAlign w:val="center"/>
          </w:tcPr>
          <w:p>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按纳税人实际缴纳的增值税、消费税税额的2%计征。</w:t>
            </w:r>
          </w:p>
          <w:p>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自2016年2月1日起，纳税的月销售额或营业额不超过10万元（含10万元）以及按季纳税的季度销售额或营业额不超过30万元（含30万元）的缴纳义务人免征。自2019年1月1日起，纳入产教融合型企业建设培育范围的试点企业，符合规定的，可按投资额的30%比例，抵免当年应缴地方教育附加。</w:t>
            </w:r>
          </w:p>
        </w:tc>
        <w:tc>
          <w:tcPr>
            <w:tcW w:w="1278" w:type="dxa"/>
            <w:noWrap w:val="0"/>
            <w:vAlign w:val="center"/>
          </w:tcPr>
          <w:p>
            <w:pPr>
              <w:widowControl/>
              <w:ind w:firstLine="0" w:firstLineChars="0"/>
              <w:rPr>
                <w:rFonts w:hint="eastAsia" w:ascii="宋体" w:hAnsi="宋体" w:eastAsia="宋体" w:cs="宋体"/>
                <w:spacing w:val="-4"/>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2"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6</w:t>
            </w:r>
          </w:p>
        </w:tc>
        <w:tc>
          <w:tcPr>
            <w:tcW w:w="107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国家电影事业发展专项资金</w:t>
            </w:r>
          </w:p>
        </w:tc>
        <w:tc>
          <w:tcPr>
            <w:tcW w:w="86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《电影管理条例》，国办发〔2006〕43号，财税〔2015〕91号，陕财办综〔2015〕172号，财教〔2016〕4号，财税〔2018〕67号，财教〔2019〕260号，财政部 国家电影总局2020年第26号公告，陕财办教〔2020〕201号</w:t>
            </w:r>
          </w:p>
        </w:tc>
        <w:tc>
          <w:tcPr>
            <w:tcW w:w="937"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由省管委会办公室负责征收。</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在全省行政区内办理工商注册登记的经营性电影放映单位。</w:t>
            </w:r>
          </w:p>
        </w:tc>
        <w:tc>
          <w:tcPr>
            <w:tcW w:w="284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按电影票房收入的5%缴纳电影专项资金。</w:t>
            </w:r>
          </w:p>
          <w:p>
            <w:pPr>
              <w:widowControl/>
              <w:ind w:firstLine="0" w:firstLineChars="0"/>
              <w:rPr>
                <w:rFonts w:hint="eastAsia" w:ascii="宋体" w:hAnsi="宋体" w:eastAsia="宋体" w:cs="宋体"/>
                <w:kern w:val="0"/>
              </w:rPr>
            </w:pPr>
          </w:p>
        </w:tc>
        <w:tc>
          <w:tcPr>
            <w:tcW w:w="1278" w:type="dxa"/>
            <w:noWrap w:val="0"/>
            <w:vAlign w:val="center"/>
          </w:tcPr>
          <w:p>
            <w:pPr>
              <w:widowControl/>
              <w:ind w:firstLine="0" w:firstLineChars="0"/>
              <w:rPr>
                <w:rFonts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7</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文化事业建设费</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国发〔1996〕37号，财预字〔1996〕469号，财文字〔1997〕243号，财税字〔1997〕95号，国办发〔2006〕43号，财综〔2012〕68号，财综〔2012〕96号，财综〔2013〕88号，财综〔2013〕102号，财税〔2016〕25号，财税〔2016〕60号，财税〔2019〕46号，陕财税〔2019〕15号</w:t>
            </w:r>
          </w:p>
        </w:tc>
        <w:tc>
          <w:tcPr>
            <w:tcW w:w="937"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税务部门</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提供娱乐服务、广告服务的相关单位和个人</w:t>
            </w:r>
          </w:p>
          <w:p>
            <w:pPr>
              <w:widowControl/>
              <w:ind w:firstLine="0" w:firstLineChars="0"/>
              <w:rPr>
                <w:rFonts w:hint="eastAsia" w:ascii="宋体" w:hAnsi="宋体" w:eastAsia="宋体" w:cs="宋体"/>
                <w:kern w:val="0"/>
              </w:rPr>
            </w:pPr>
          </w:p>
        </w:tc>
        <w:tc>
          <w:tcPr>
            <w:tcW w:w="284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（1）缴纳文化事业建设费的单位应按照提供广告服务取得的计费销售额和3%的费率计算应缴费额，计算公式为：应缴费额＝计费销售额×3%</w:t>
            </w:r>
          </w:p>
          <w:p>
            <w:pPr>
              <w:widowControl/>
              <w:ind w:firstLine="0" w:firstLineChars="0"/>
              <w:rPr>
                <w:rFonts w:hint="eastAsia" w:ascii="宋体" w:hAnsi="宋体" w:eastAsia="宋体" w:cs="宋体"/>
                <w:kern w:val="0"/>
              </w:rPr>
            </w:pPr>
            <w:r>
              <w:rPr>
                <w:rFonts w:hint="eastAsia" w:ascii="宋体" w:hAnsi="宋体" w:eastAsia="宋体" w:cs="宋体"/>
                <w:kern w:val="0"/>
              </w:rPr>
              <w:t>（2）缴纳义务人应按照提供娱乐服务取得的计费销售额和3%的费率计算娱乐服务应缴费额，计算公式为：娱乐服务应缴费额＝娱乐服务计费销售额×3%娱乐服务计费销售额，为缴纳义务人提供娱乐服务取得的全部含税价款和价外费用。</w:t>
            </w:r>
          </w:p>
        </w:tc>
        <w:tc>
          <w:tcPr>
            <w:tcW w:w="1278" w:type="dxa"/>
            <w:noWrap w:val="0"/>
            <w:vAlign w:val="center"/>
          </w:tcPr>
          <w:p>
            <w:pPr>
              <w:widowControl/>
              <w:snapToGrid w:val="0"/>
              <w:ind w:firstLine="0" w:firstLineChars="0"/>
              <w:rPr>
                <w:rFonts w:ascii="宋体" w:hAnsi="宋体" w:eastAsia="宋体" w:cs="宋体"/>
                <w:kern w:val="0"/>
              </w:rPr>
            </w:pPr>
            <w:r>
              <w:rPr>
                <w:rFonts w:ascii="宋体" w:hAnsi="宋体" w:eastAsia="宋体" w:cs="宋体"/>
                <w:kern w:val="0"/>
              </w:rPr>
              <w:t>增值税小规模纳税人中月销售额不超过2万元（按季纳税6万元）的企业和非企业性单位提供的应税服务免征。</w:t>
            </w:r>
            <w:r>
              <w:rPr>
                <w:rFonts w:hint="eastAsia" w:ascii="宋体" w:hAnsi="宋体" w:eastAsia="宋体" w:cs="宋体"/>
                <w:kern w:val="0"/>
              </w:rPr>
              <w:t>自2019年7月1日至2024年12月31日，对归属我省收入的文化事业建设费，按照缴纳义务人应缴费额的50%减征。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34"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8</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地方水库移民扶持基金（含大中型水库库区基金、小型水库移民后期扶持资金）</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snapToGrid w:val="0"/>
              <w:ind w:firstLine="0" w:firstLineChars="0"/>
              <w:rPr>
                <w:rFonts w:ascii="宋体" w:hAnsi="宋体" w:eastAsia="宋体" w:cs="宋体"/>
                <w:spacing w:val="-2"/>
                <w:kern w:val="0"/>
              </w:rPr>
            </w:pPr>
            <w:r>
              <w:rPr>
                <w:rFonts w:hint="eastAsia" w:ascii="宋体" w:hAnsi="宋体" w:eastAsia="宋体" w:cs="宋体"/>
                <w:spacing w:val="-2"/>
                <w:kern w:val="0"/>
              </w:rPr>
              <w:t>《大中型水利水电工程建设征地补偿和移民安置条例》，监察部、人事部、财政部令第13号，国发〔2006〕17号，财综〔2007〕26号，财综〔2008〕29号，财综〔2009〕51号，财综函〔2010〕39号，财企〔2012〕315号，财综〔2013〕103号，财税〔2015〕80号，财税〔2016〕11号，财税〔2017〕18号，陕财税〔2017〕43号，财税〔2018〕39号，陕财税〔2018〕7号，陕价商发〔2018〕75号，陕财办税〔2020〕5号</w:t>
            </w:r>
          </w:p>
        </w:tc>
        <w:tc>
          <w:tcPr>
            <w:tcW w:w="937"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税务机关</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大中型水库库区基金从我省境内有发电收入的大中型水库发电收入中筹集；</w:t>
            </w:r>
          </w:p>
          <w:p>
            <w:pPr>
              <w:widowControl/>
              <w:ind w:firstLine="0" w:firstLineChars="0"/>
              <w:rPr>
                <w:rFonts w:ascii="宋体" w:hAnsi="宋体" w:eastAsia="宋体" w:cs="宋体"/>
                <w:kern w:val="0"/>
              </w:rPr>
            </w:pPr>
            <w:r>
              <w:rPr>
                <w:rFonts w:hint="eastAsia" w:ascii="宋体" w:hAnsi="宋体" w:eastAsia="宋体" w:cs="宋体"/>
                <w:kern w:val="0"/>
              </w:rPr>
              <w:t>小型水库移民后期扶持资金按陕西电网销售电价中扣除农业生产用电、农业排灌用电、居民生活用电后的全部销售电量提取。</w:t>
            </w:r>
          </w:p>
        </w:tc>
        <w:tc>
          <w:tcPr>
            <w:tcW w:w="284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附加在电价上征收：</w:t>
            </w:r>
          </w:p>
          <w:p>
            <w:pPr>
              <w:widowControl/>
              <w:ind w:firstLine="0" w:firstLineChars="0"/>
              <w:rPr>
                <w:rFonts w:hint="eastAsia" w:ascii="宋体" w:hAnsi="宋体" w:eastAsia="宋体" w:cs="宋体"/>
                <w:kern w:val="0"/>
              </w:rPr>
            </w:pPr>
            <w:r>
              <w:rPr>
                <w:rFonts w:hint="eastAsia" w:ascii="宋体" w:hAnsi="宋体" w:eastAsia="宋体" w:cs="宋体"/>
                <w:kern w:val="0"/>
              </w:rPr>
              <w:t>（1）大中型水库库区基金征收标准8厘</w:t>
            </w:r>
            <w:r>
              <w:rPr>
                <w:rFonts w:hint="eastAsia" w:ascii="宋体" w:hAnsi="宋体" w:eastAsia="宋体" w:cs="仿宋"/>
                <w:kern w:val="0"/>
              </w:rPr>
              <w:t>/</w:t>
            </w:r>
            <w:r>
              <w:rPr>
                <w:rFonts w:hint="eastAsia" w:ascii="宋体" w:hAnsi="宋体" w:eastAsia="宋体" w:cs="宋体"/>
                <w:kern w:val="0"/>
              </w:rPr>
              <w:t>千瓦时；</w:t>
            </w:r>
          </w:p>
          <w:p>
            <w:pPr>
              <w:widowControl/>
              <w:ind w:firstLine="0" w:firstLineChars="0"/>
              <w:rPr>
                <w:rFonts w:hint="eastAsia" w:ascii="宋体" w:hAnsi="宋体" w:eastAsia="宋体" w:cs="宋体"/>
                <w:kern w:val="0"/>
              </w:rPr>
            </w:pPr>
            <w:r>
              <w:rPr>
                <w:rFonts w:hint="eastAsia" w:ascii="宋体" w:hAnsi="宋体" w:eastAsia="宋体" w:cs="宋体"/>
                <w:kern w:val="0"/>
              </w:rPr>
              <w:t>（2）小型水库移民后期扶持资金征收标准0.05分</w:t>
            </w:r>
            <w:r>
              <w:rPr>
                <w:rFonts w:hint="eastAsia" w:ascii="宋体" w:hAnsi="宋体" w:eastAsia="宋体" w:cs="仿宋"/>
                <w:kern w:val="0"/>
              </w:rPr>
              <w:t>/</w:t>
            </w:r>
            <w:r>
              <w:rPr>
                <w:rFonts w:hint="eastAsia" w:ascii="宋体" w:hAnsi="宋体" w:eastAsia="宋体" w:cs="宋体"/>
                <w:kern w:val="0"/>
              </w:rPr>
              <w:t>千瓦时，2018年陕价商发〔2018〕75号文件将标准降为0分。</w:t>
            </w:r>
          </w:p>
        </w:tc>
        <w:tc>
          <w:tcPr>
            <w:tcW w:w="1278" w:type="dxa"/>
            <w:noWrap w:val="0"/>
            <w:vAlign w:val="center"/>
          </w:tcPr>
          <w:p>
            <w:pPr>
              <w:widowControl/>
              <w:ind w:firstLine="0" w:firstLineChars="0"/>
              <w:rPr>
                <w:rFonts w:hint="eastAsia" w:ascii="宋体" w:hAnsi="宋体" w:eastAsia="宋体" w:cs="宋体"/>
                <w:kern w:val="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3" w:hRule="atLeast"/>
          <w:jc w:val="center"/>
        </w:trPr>
        <w:tc>
          <w:tcPr>
            <w:tcW w:w="520" w:type="dxa"/>
            <w:noWrap w:val="0"/>
            <w:vAlign w:val="center"/>
          </w:tcPr>
          <w:p>
            <w:pPr>
              <w:widowControl/>
              <w:ind w:firstLine="0" w:firstLineChars="0"/>
              <w:jc w:val="center"/>
              <w:rPr>
                <w:rFonts w:hint="eastAsia" w:ascii="宋体" w:hAnsi="宋体" w:eastAsia="宋体" w:cs="宋体"/>
                <w:kern w:val="0"/>
              </w:rPr>
            </w:pPr>
            <w:r>
              <w:rPr>
                <w:rFonts w:hint="eastAsia" w:ascii="宋体" w:hAnsi="宋体" w:eastAsia="宋体" w:cs="宋体"/>
                <w:kern w:val="0"/>
              </w:rPr>
              <w:t>9</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残疾人就业保障金</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残疾人保障法》，《残疾人就业条例》，财综字〔1995〕5号，财综〔2001〕16号，财综〔2001〕18号，财税〔2015〕72号，陕财办综〔2016〕85号，财税〔2017〕18号，陕财办综〔2017〕2号，陕财税〔2017〕17号，财税〔2018〕39号，陕财税〔2018〕7号，陕财办税〔2020〕1号</w:t>
            </w:r>
          </w:p>
        </w:tc>
        <w:tc>
          <w:tcPr>
            <w:tcW w:w="937"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所在地税务机关</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用人单位安排残疾人就业达不到本单位在职职工总数1.5%比例的，应当缴纳残疾人就业保障金。</w:t>
            </w:r>
          </w:p>
        </w:tc>
        <w:tc>
          <w:tcPr>
            <w:tcW w:w="284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按上年用人单位安排残疾人就业未达到规定比例的差额人数征收，其计算公式为：</w:t>
            </w:r>
          </w:p>
          <w:p>
            <w:pPr>
              <w:widowControl/>
              <w:ind w:firstLine="0" w:firstLineChars="0"/>
              <w:rPr>
                <w:rFonts w:hint="eastAsia" w:ascii="宋体" w:hAnsi="宋体" w:eastAsia="宋体" w:cs="宋体"/>
                <w:kern w:val="0"/>
              </w:rPr>
            </w:pPr>
            <w:r>
              <w:rPr>
                <w:rFonts w:hint="eastAsia" w:ascii="宋体" w:hAnsi="宋体" w:eastAsia="宋体" w:cs="宋体"/>
                <w:kern w:val="0"/>
              </w:rPr>
              <w:t>保障金年缴纳额=（上年用人单位在职职工人数×1.5%-上年用人单位实际安排的残疾人就业人数）×上年用人单位在职职工年平均工资。其中，用人单位在职职工平均工资未超过当地社会平均工资2倍（含）的，按用人单位在职职工平均工资计征；超过当地社会平均工资2倍的，按当地社会平均工资2倍计征。</w:t>
            </w:r>
          </w:p>
        </w:tc>
        <w:tc>
          <w:tcPr>
            <w:tcW w:w="1278"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自2018年4月1日起，残疾人就业保障金征收标准上限由当地社会平均工资的3倍降低至2倍。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3" w:hRule="atLeast"/>
          <w:jc w:val="center"/>
        </w:trPr>
        <w:tc>
          <w:tcPr>
            <w:tcW w:w="520" w:type="dxa"/>
            <w:noWrap w:val="0"/>
            <w:vAlign w:val="center"/>
          </w:tcPr>
          <w:p>
            <w:pPr>
              <w:widowControl/>
              <w:ind w:firstLine="0" w:firstLineChars="0"/>
              <w:jc w:val="center"/>
              <w:rPr>
                <w:rFonts w:ascii="宋体" w:hAnsi="宋体" w:eastAsia="宋体" w:cs="宋体"/>
                <w:kern w:val="0"/>
              </w:rPr>
            </w:pPr>
            <w:r>
              <w:rPr>
                <w:rFonts w:hint="eastAsia" w:ascii="宋体" w:hAnsi="宋体" w:eastAsia="宋体" w:cs="宋体"/>
                <w:kern w:val="0"/>
              </w:rPr>
              <w:t>10</w:t>
            </w:r>
          </w:p>
        </w:tc>
        <w:tc>
          <w:tcPr>
            <w:tcW w:w="107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森林植被恢复费</w:t>
            </w:r>
          </w:p>
        </w:tc>
        <w:tc>
          <w:tcPr>
            <w:tcW w:w="868" w:type="dxa"/>
            <w:noWrap w:val="0"/>
            <w:vAlign w:val="center"/>
          </w:tcPr>
          <w:p>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《森林法》，《森林法实施条例》，财综〔2002〕73号，财税〔2015〕122号，陕财办综〔2016〕58号，陕财税〔2021〕10号</w:t>
            </w:r>
          </w:p>
        </w:tc>
        <w:tc>
          <w:tcPr>
            <w:tcW w:w="937"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县级以上自然资源部门</w:t>
            </w:r>
          </w:p>
        </w:tc>
        <w:tc>
          <w:tcPr>
            <w:tcW w:w="2079" w:type="dxa"/>
            <w:noWrap w:val="0"/>
            <w:vAlign w:val="center"/>
          </w:tcPr>
          <w:p>
            <w:pPr>
              <w:widowControl/>
              <w:ind w:firstLine="0" w:firstLineChars="0"/>
              <w:rPr>
                <w:rFonts w:hint="eastAsia" w:ascii="宋体" w:hAnsi="宋体" w:eastAsia="宋体" w:cs="宋体"/>
                <w:kern w:val="0"/>
              </w:rPr>
            </w:pPr>
            <w:r>
              <w:rPr>
                <w:rFonts w:hint="eastAsia" w:ascii="宋体" w:hAnsi="宋体" w:eastAsia="宋体" w:cs="宋体"/>
                <w:kern w:val="0"/>
              </w:rPr>
              <w:t>凡勘查、开采矿藏和修建道路、水利、电力、通讯等各项建设工程需要占用、征用或者临时占用林地，经县级以上林业主管部门审核同意或批准的用地单位</w:t>
            </w:r>
          </w:p>
        </w:tc>
        <w:tc>
          <w:tcPr>
            <w:tcW w:w="2848" w:type="dxa"/>
            <w:noWrap w:val="0"/>
            <w:vAlign w:val="center"/>
          </w:tcPr>
          <w:p>
            <w:pPr>
              <w:widowControl/>
              <w:snapToGrid w:val="0"/>
              <w:ind w:firstLine="0" w:firstLineChars="0"/>
              <w:jc w:val="left"/>
              <w:rPr>
                <w:rFonts w:hint="eastAsia" w:ascii="宋体" w:hAnsi="宋体" w:eastAsia="宋体" w:cs="宋体"/>
                <w:kern w:val="0"/>
              </w:rPr>
            </w:pPr>
            <w:r>
              <w:rPr>
                <w:rFonts w:hint="eastAsia" w:ascii="宋体" w:hAnsi="宋体" w:eastAsia="宋体" w:cs="宋体"/>
                <w:kern w:val="0"/>
              </w:rPr>
              <w:t>根据不同林地类型、占用林地建设项目性质、所在区域，按用地单位占用林地面积征收：</w:t>
            </w:r>
          </w:p>
          <w:p>
            <w:pPr>
              <w:widowControl/>
              <w:snapToGrid w:val="0"/>
              <w:ind w:firstLine="0" w:firstLineChars="0"/>
              <w:jc w:val="left"/>
              <w:rPr>
                <w:rFonts w:hint="eastAsia" w:ascii="宋体" w:hAnsi="宋体" w:eastAsia="宋体" w:cs="宋体"/>
                <w:kern w:val="0"/>
              </w:rPr>
            </w:pPr>
            <w:r>
              <w:rPr>
                <w:rFonts w:hint="eastAsia" w:ascii="宋体" w:hAnsi="宋体" w:eastAsia="宋体" w:cs="宋体"/>
                <w:kern w:val="0"/>
              </w:rPr>
              <w:t>（1）郁闭度0.2以上的乔木林地、竹林地、苗圃地，每平方米收取12元；灌木林地、疏林地、未成林造林地，每平方米收取8元；无立木林地等其它林地每平方米4元。</w:t>
            </w:r>
          </w:p>
          <w:p>
            <w:pPr>
              <w:widowControl/>
              <w:snapToGrid w:val="0"/>
              <w:ind w:firstLine="0" w:firstLineChars="0"/>
              <w:rPr>
                <w:rFonts w:hint="eastAsia" w:ascii="宋体" w:hAnsi="宋体" w:eastAsia="宋体" w:cs="宋体"/>
                <w:kern w:val="0"/>
              </w:rPr>
            </w:pPr>
            <w:r>
              <w:rPr>
                <w:rFonts w:hint="eastAsia" w:ascii="宋体" w:hAnsi="宋体" w:eastAsia="宋体" w:cs="宋体"/>
                <w:kern w:val="0"/>
              </w:rPr>
              <w:t>（2）国家和地方公益林林地，郁闭度0.2以上的乔木林地、竹林地、苗圃地，每平方米收取24元；灌木林地、疏林地、未成林造林地，每平方米收取16元；无立木林地等其它林地每平方米8元。</w:t>
            </w:r>
          </w:p>
          <w:p>
            <w:pPr>
              <w:widowControl/>
              <w:snapToGrid w:val="0"/>
              <w:ind w:firstLine="0" w:firstLineChars="0"/>
              <w:rPr>
                <w:rFonts w:hint="eastAsia" w:ascii="宋体" w:hAnsi="宋体" w:eastAsia="宋体" w:cs="宋体"/>
                <w:kern w:val="0"/>
              </w:rPr>
            </w:pPr>
            <w:r>
              <w:rPr>
                <w:rFonts w:hint="eastAsia" w:ascii="宋体" w:hAnsi="宋体" w:eastAsia="宋体" w:cs="宋体"/>
                <w:kern w:val="0"/>
              </w:rPr>
              <w:t>（3）城市及城市规划区内的林地，郁闭度0.2以上的乔木林地、竹林地、苗圃地，每平方米收取24元；灌木林地、疏林地、未成林造林地，每平方米收取16元；无立木林地等其它林地每平方米8元。</w:t>
            </w:r>
          </w:p>
          <w:p>
            <w:pPr>
              <w:widowControl/>
              <w:snapToGrid w:val="0"/>
              <w:ind w:firstLine="0" w:firstLineChars="0"/>
              <w:rPr>
                <w:rFonts w:hint="eastAsia" w:ascii="宋体" w:hAnsi="宋体" w:eastAsia="宋体" w:cs="宋体"/>
                <w:kern w:val="0"/>
              </w:rPr>
            </w:pPr>
            <w:r>
              <w:rPr>
                <w:rFonts w:hint="eastAsia" w:ascii="宋体" w:hAnsi="宋体" w:eastAsia="宋体" w:cs="宋体"/>
                <w:kern w:val="0"/>
              </w:rPr>
              <w:t>（4）城市规划区以外的林地，按使用林地的建设项目性质，实行不同征收标准。具体标准见陕财税〔2021〕10号。</w:t>
            </w:r>
          </w:p>
          <w:p>
            <w:pPr>
              <w:widowControl/>
              <w:snapToGrid w:val="0"/>
              <w:ind w:firstLine="0" w:firstLineChars="0"/>
              <w:rPr>
                <w:rFonts w:ascii="宋体" w:hAnsi="宋体" w:eastAsia="宋体" w:cs="宋体"/>
                <w:kern w:val="0"/>
              </w:rPr>
            </w:pPr>
            <w:r>
              <w:rPr>
                <w:rFonts w:hint="eastAsia" w:ascii="宋体" w:hAnsi="宋体" w:eastAsia="宋体" w:cs="宋体"/>
                <w:kern w:val="0"/>
              </w:rPr>
              <w:t>如果在城市规划区内，又是公益林地，收费标准为第（1）款基本收费标准的4倍。</w:t>
            </w:r>
          </w:p>
        </w:tc>
        <w:tc>
          <w:tcPr>
            <w:tcW w:w="1278" w:type="dxa"/>
            <w:noWrap w:val="0"/>
            <w:vAlign w:val="center"/>
          </w:tcPr>
          <w:p>
            <w:pPr>
              <w:widowControl/>
              <w:ind w:firstLine="0" w:firstLineChars="0"/>
              <w:rPr>
                <w:rFonts w:ascii="宋体" w:hAnsi="宋体" w:eastAsia="宋体" w:cs="宋体"/>
                <w:kern w:val="0"/>
              </w:rPr>
            </w:pP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汉仪瑞意宋简">
    <w:altName w:val="宋体"/>
    <w:panose1 w:val="00020600040101010101"/>
    <w:charset w:val="00"/>
    <w:family w:val="auto"/>
    <w:pitch w:val="default"/>
    <w:sig w:usb0="00000000" w:usb1="00000000" w:usb2="00000016"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yNDI4NDA4M2ZhNjM4MTNmZWE3NGUyNmQxYmZmNDEifQ=="/>
  </w:docVars>
  <w:rsids>
    <w:rsidRoot w:val="4B807912"/>
    <w:rsid w:val="4B80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2023-09-28T02:01:00Z</dcterms:created>
  <dc:creator>石 峰、</dc:creator>
  <cp:lastModifiedBy>石 峰、</cp:lastModifiedBy>
  <dcterms:modified xsi:type="dcterms:W3CDTF">2023-09-28T02:02:23Z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E22A4F872DC44E83B841B0B728B61AD7_11</vt:lpwstr>
  </property>
</Properties>
</file>