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/>
        </w:rPr>
        <w:t>2023年西乡县住房和城乡建设管理局</w:t>
      </w:r>
    </w:p>
    <w:p w14:paraId="2A98C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napToGrid/>
          <w:kern w:val="2"/>
          <w:sz w:val="44"/>
          <w:szCs w:val="44"/>
          <w:lang w:val="en-US" w:eastAsia="zh-CN"/>
        </w:rPr>
        <w:t>部门整体支出绩效评价报告</w:t>
      </w:r>
    </w:p>
    <w:p w14:paraId="65643F8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00" w:lineRule="exact"/>
        <w:ind w:firstLine="643" w:firstLineChars="200"/>
        <w:textAlignment w:val="baseline"/>
        <w:rPr>
          <w:rFonts w:hint="eastAsia" w:ascii="仿宋_GB2312" w:hAnsi="仿宋_GB2312" w:eastAsia="仿宋_GB2312" w:cs="Arial"/>
          <w:b/>
          <w:bCs/>
          <w:snapToGrid w:val="0"/>
          <w:color w:val="000000"/>
          <w:kern w:val="0"/>
          <w:sz w:val="32"/>
          <w:szCs w:val="21"/>
          <w:lang w:val="en-US" w:eastAsia="en-US" w:bidi="ar-SA"/>
        </w:rPr>
      </w:pPr>
    </w:p>
    <w:p w14:paraId="29223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en-US"/>
        </w:rPr>
        <w:t>一、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单位概况</w:t>
      </w:r>
    </w:p>
    <w:p w14:paraId="39B9A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西乡县住房和城乡建设管理局</w:t>
      </w:r>
      <w:r>
        <w:rPr>
          <w:rFonts w:hint="eastAsia" w:ascii="Times New Roman" w:hAnsi="Times New Roman" w:eastAsia="仿宋_GB2312" w:cs="仿宋_GB2312"/>
          <w:snapToGrid/>
          <w:spacing w:val="0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以下简称县</w:t>
      </w:r>
      <w:r>
        <w:rPr>
          <w:rFonts w:hint="eastAsia" w:ascii="Times New Roman" w:hAnsi="Times New Roman" w:cs="仿宋_GB2312"/>
          <w:snapToGrid/>
          <w:spacing w:val="0"/>
          <w:kern w:val="2"/>
          <w:sz w:val="32"/>
          <w:szCs w:val="32"/>
          <w:lang w:val="en-US" w:eastAsia="zh-CN"/>
        </w:rPr>
        <w:t>住建</w:t>
      </w:r>
      <w:r>
        <w:rPr>
          <w:rFonts w:hint="eastAsia" w:ascii="Times New Roman" w:hAnsi="Times New Roman" w:eastAsia="仿宋_GB2312" w:cs="仿宋_GB2312"/>
          <w:snapToGrid/>
          <w:spacing w:val="0"/>
          <w:kern w:val="2"/>
          <w:sz w:val="32"/>
          <w:szCs w:val="32"/>
          <w:lang w:val="en-US" w:eastAsia="zh-CN"/>
        </w:rPr>
        <w:t>局）局机关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内设6个股室，含办公室、住房保障股、房产管理股、城市建设管理股、建筑业管理股、人防管理股。另有9个下属单位，即：西乡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县环境卫生管理所、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县建筑工程质量安全监督站、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县园林路灯所、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县住房保障建设管理中心、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县市政公用设施管护所、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县小城镇建设管理站、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县城市管理综合执法大队、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县建筑节能与墙体材料改革办公室、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县城市垃圾处理场管理站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核定编制人数为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185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名，实际在岗在编人员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230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人。</w:t>
      </w:r>
    </w:p>
    <w:p w14:paraId="3C2C7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2023年西乡县住建局年初预算总额7,222.08万元，调整后预算42,376.64万元，截至2023年12月31日，实际执行36,897.69万元，预算执行率87.07%，预算执行进度较为缓慢。</w:t>
      </w:r>
    </w:p>
    <w:p w14:paraId="31108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2023年西乡县住建局开展的工作任务主要为“完成21个重点建设项目的年度任务”“持续推进“4111+N”项目”“持续抓好创建国家园林城市工作”“抓好住建领域环保工作，进一步巩固提升城市管理工作，强化质量监督行为，加大质量安全监管力度，促进文明工地建设”“抓好省级乡村振兴示范镇和市级重点镇建设；紧盯农村住房安全有保障目标，抓好农村住房安全保障工作”“完成上级交办的其他工作任务”</w:t>
      </w:r>
      <w:r>
        <w:rPr>
          <w:rFonts w:hint="eastAsia" w:ascii="Times New Roman" w:hAnsi="Times New Roman" w:cs="仿宋_GB2312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通过实施以上几项工作，提优城乡品质，提升行业管理。</w:t>
      </w:r>
    </w:p>
    <w:p w14:paraId="6B134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二、评价结论</w:t>
      </w:r>
    </w:p>
    <w:p w14:paraId="2DB59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运用由评价小组设计并通过审核的评价指标体系及评分标准，通过数据采集、问卷调查及访谈等方法，对西乡县住建局2023年度部门（单位）整体支出绩效进行客观评价，最终评分结果：项目总得分为88.59分，绩效评级为“良”。具体如下表：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2211"/>
        <w:gridCol w:w="2211"/>
        <w:gridCol w:w="2227"/>
      </w:tblGrid>
      <w:tr w14:paraId="3B74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  <w:jc w:val="center"/>
        </w:trPr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FF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一级指标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927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99D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253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358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得分率</w:t>
            </w:r>
          </w:p>
        </w:tc>
      </w:tr>
      <w:tr w14:paraId="6CC2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AE1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投入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47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2CE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14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F96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73.33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%</w:t>
            </w:r>
          </w:p>
        </w:tc>
      </w:tr>
      <w:tr w14:paraId="046B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E51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过程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D4A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39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24.35</w:t>
            </w:r>
          </w:p>
        </w:tc>
        <w:tc>
          <w:tcPr>
            <w:tcW w:w="214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56B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81.17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%</w:t>
            </w:r>
          </w:p>
        </w:tc>
      </w:tr>
      <w:tr w14:paraId="436F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4AA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产出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6C8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6EE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28.94</w:t>
            </w:r>
          </w:p>
        </w:tc>
        <w:tc>
          <w:tcPr>
            <w:tcW w:w="214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8D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96.47%</w:t>
            </w:r>
          </w:p>
        </w:tc>
      </w:tr>
      <w:tr w14:paraId="33E1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2EE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效益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298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89F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24.30</w:t>
            </w:r>
          </w:p>
        </w:tc>
        <w:tc>
          <w:tcPr>
            <w:tcW w:w="214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12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97.20%</w:t>
            </w:r>
          </w:p>
        </w:tc>
      </w:tr>
      <w:tr w14:paraId="3EFE0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595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CE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48" w:type="pc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037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14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57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88.59</w:t>
            </w:r>
            <w:r>
              <w:rPr>
                <w:rFonts w:hint="default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%</w:t>
            </w:r>
          </w:p>
        </w:tc>
      </w:tr>
      <w:tr w14:paraId="2311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00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8" w:lineRule="exact"/>
              <w:ind w:firstLine="640" w:firstLineChars="0"/>
              <w:textAlignment w:val="auto"/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绩效评价得分：</w:t>
            </w:r>
            <w:r>
              <w:rPr>
                <w:rFonts w:hint="eastAsia" w:ascii="Times New Roman" w:hAnsi="Times New Roman" w:eastAsia="仿宋" w:cs="Times New Roman"/>
                <w:snapToGrid/>
                <w:kern w:val="2"/>
                <w:sz w:val="24"/>
                <w:szCs w:val="24"/>
                <w:lang w:val="en-US" w:eastAsia="zh-CN"/>
              </w:rPr>
              <w:t>88.59</w:t>
            </w:r>
            <w:r>
              <w:rPr>
                <w:rFonts w:hint="eastAsia" w:ascii="仿宋" w:hAnsi="仿宋" w:eastAsia="仿宋" w:cs="仿宋"/>
                <w:snapToGrid/>
                <w:kern w:val="2"/>
                <w:sz w:val="24"/>
                <w:szCs w:val="24"/>
                <w:lang w:val="en-US" w:eastAsia="zh-CN"/>
              </w:rPr>
              <w:t>分综合评价结果等级：良</w:t>
            </w:r>
          </w:p>
        </w:tc>
      </w:tr>
    </w:tbl>
    <w:p w14:paraId="6322A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主要经验及做法</w:t>
      </w:r>
    </w:p>
    <w:p w14:paraId="152D8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坚持匠心构筑，绘制城市骨架</w:t>
      </w:r>
    </w:p>
    <w:p w14:paraId="45115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聚焦建设中国最美茶乡和汉中副中心城市目标，统筹生产、生活、生态三大空间布局，全面提升城市能级和综合承载力。按照</w:t>
      </w:r>
      <w:r>
        <w:rPr>
          <w:rFonts w:hint="eastAsia" w:ascii="Times New Roman" w:hAnsi="Times New Roman" w:cs="仿宋_GB2312"/>
          <w:snapToGrid/>
          <w:kern w:val="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东进、南扩、西展、北优、内提</w:t>
      </w:r>
      <w:r>
        <w:rPr>
          <w:rFonts w:hint="eastAsia" w:ascii="Times New Roman" w:hAnsi="Times New Roman" w:cs="仿宋_GB2312"/>
          <w:snapToGrid/>
          <w:kern w:val="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思路，深入推进以人为核心、以县城为重要载体的新型城镇化建设，不断完善城市功能，持续提升城市品质，打造宜居宜业宜游的中国最美茶乡。</w:t>
      </w:r>
    </w:p>
    <w:p w14:paraId="59B67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</w:p>
    <w:p w14:paraId="281A7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扛牢部门职责，抓实指标完成</w:t>
      </w:r>
    </w:p>
    <w:p w14:paraId="210AB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一是完成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2023年市考县指标4项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，分别为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常住人口城镇化率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建筑业增加值指标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新培育资质建筑企业增加值指标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城市建设管理及综合创建指标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，四项指标均圆满达成。二是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2023年承担重点项目24个，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已完成投资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21.5亿。三是在营商环境方面，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提升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办理建筑施工许可质效，深化工程建设项目审批制度改革。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四是在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招商引资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方面，2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023年招商项目4个，分别为四季河棚户区改造项目、城乡环卫一体化、水东新区商住楼综合开发建设项目、茶乡水城开发建设项目，年度到位资金4.68亿元。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五是在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乡村振兴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方面，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本年度实施农村危房改造25户，均已竣工验收，危改补助资金66万元已全部兑付；稳步推进骆家坝</w:t>
      </w:r>
      <w:r>
        <w:rPr>
          <w:rFonts w:hint="eastAsia" w:ascii="Times New Roman" w:hAnsi="Times New Roman" w:cs="仿宋_GB2312"/>
          <w:snapToGrid/>
          <w:kern w:val="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省级乡村振兴示范镇</w:t>
      </w:r>
      <w:r>
        <w:rPr>
          <w:rFonts w:hint="eastAsia" w:ascii="Times New Roman" w:hAnsi="Times New Roman" w:cs="仿宋_GB2312"/>
          <w:snapToGrid/>
          <w:kern w:val="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建设，堰口镇司上社区和骆家坝镇松树村2个村入选省级美丽宜居示范村。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综合创建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方面，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2023年全年共计维修路面（含人行道）破损217处1380平方米，改造道沿石860余米，完成29条城区街道无障碍设施改造建设任务，共计350余处2150余平方米，维修更换窨井（盖）240座（个），维修更换人行道砖560处778平方米，维修道沿210米，缘石坡道整改64处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今年城区新增绿地面积112000平方米，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年初，创国园已经通过省级评估，目前所有准备工作均已就绪，创园验收路线和方案已经确定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。</w:t>
      </w:r>
    </w:p>
    <w:p w14:paraId="7B92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 w14:paraId="00686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 w14:paraId="148FD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、存在的问题和原因分析</w:t>
      </w:r>
    </w:p>
    <w:p w14:paraId="13F50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预算编制不完整、细致</w:t>
      </w:r>
    </w:p>
    <w:p w14:paraId="164A9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预算收入编制中未包含其他收入，收入预算编制不完整。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二是当年预算调整数额过大，年初预算编制不完整、细致，未包含全部项目预算。</w:t>
      </w:r>
    </w:p>
    <w:p w14:paraId="0436A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（二）绩效目标和指标设定有待完善</w:t>
      </w:r>
    </w:p>
    <w:p w14:paraId="5EC3F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一是绩效目标设置简单，未能完整反映住建局2023年的年度工作计划。二是绩效指标不明确，仅根据经费类别设定，未能根据计划实施内容进行分解。</w:t>
      </w:r>
    </w:p>
    <w:p w14:paraId="3E113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（三）预算绩效管理薄弱</w:t>
      </w:r>
    </w:p>
    <w:p w14:paraId="54DF5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一是未能按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《西乡县财政局关于印发&lt;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县级预算绩效运行监控管理暂行办法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&gt;的通知》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要求，填报绩效监控情况表和形成绩效监控报告等资料。二是未能建立切实可行的预算绩效管理制度。三是自评报告部分指标填写有误，自评报告内容流于形式，未能客观反映部门全年工作目标的完成情况。</w:t>
      </w:r>
    </w:p>
    <w:p w14:paraId="32AA2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（四）存在人员超编现象</w:t>
      </w:r>
    </w:p>
    <w:p w14:paraId="0AA53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机构编制部门核定批复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西乡县住建局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人员数为185人，而实际人员数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230人，包含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西乡县住建局本级及下属单位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实际人员。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存在部门人员超编制现象。</w:t>
      </w:r>
    </w:p>
    <w:p w14:paraId="029DB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）会计信息准确性不足</w:t>
      </w:r>
    </w:p>
    <w:p w14:paraId="0276F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本次绩效评价，抽查了住建局本级及部分下属单位的财务资料，发现部分会计凭证相关附件不齐全，如：支付部分项目工程款，无监理签字确认的工程款申请支付单。存在决算报表填制未能完全反映单位财务信息，如：政府采购行为披露不完全。</w:t>
      </w:r>
    </w:p>
    <w:p w14:paraId="08BD1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（六）资产管理不够完善</w:t>
      </w:r>
    </w:p>
    <w:p w14:paraId="22F53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一是下属单位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存在账面与资产管理系统不一致。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存在部分固定资产已处于不能使用的状态，相关单位将其放置在库房，未按制度要求及时进行清理。</w:t>
      </w:r>
    </w:p>
    <w:p w14:paraId="18FC0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（七）部分工作任务未能按时完成，部分建设项目未能及时竣工验收</w:t>
      </w:r>
    </w:p>
    <w:p w14:paraId="0568E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一是部分工作任务未能按时完成，如：重点镇污水处理厂及配套管网建设项目（二期），计划建设骆家坝镇、沙河镇、白龙塘镇、白勉峡镇、峡口镇五个重点镇的污水处理厂，建设年限为2022—2023年，2023年度只完成了骆家坝镇、沙河镇污水处理厂建设任务，白勉峡镇、白龙塘镇、峡口镇污水处理厂建设任务未完成。二是部分已完工项目未能提供项目竣工验收资料，如：迎宾大桥建设项目、第三期老旧小区改造项目、西乡县县城背街小巷、人行道改造提升项目等。</w:t>
      </w:r>
    </w:p>
    <w:p w14:paraId="0BB04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、有关建议</w:t>
      </w:r>
    </w:p>
    <w:p w14:paraId="2B9D4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完善预算管理制度，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增强预算编制的准确性</w:t>
      </w:r>
    </w:p>
    <w:p w14:paraId="5BAE3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一是完善制度体系。二是健全组织机构。三是加强队伍建设。四是在预算编制过程中，规范预算编制流程。</w:t>
      </w:r>
    </w:p>
    <w:p w14:paraId="5AFEE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加强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绩效管理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理念，完善全过程预算绩效管理机制</w:t>
      </w:r>
    </w:p>
    <w:p w14:paraId="6504F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首先对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各部门各单位开展事前绩效评估。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其次，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强化绩效目标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管理，在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编制预算时要设置全面的绩效目标。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再次，在预算实施过程中应对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绩效目标实现程度和预算执行进度实行“双监控”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。最后，规范开展绩效评价，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eastAsia="zh-CN"/>
        </w:rPr>
        <w:t>加强绩效评价结果应用。</w:t>
      </w:r>
    </w:p>
    <w:p w14:paraId="4C721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规范会计基础工作规范</w:t>
      </w:r>
    </w:p>
    <w:p w14:paraId="546F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严格遵循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法规政策、中省市各类专项资金管理办法等规范性文件和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"/>
        </w:rPr>
        <w:t>政府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会计准则及其应用指南的要求，杜绝科目使用不准确、记账凭证附件不全或编制不规范等问题，规范会计核算管理，使财务数据能完整、准确地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"/>
        </w:rPr>
        <w:t>记录各单位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发生的各项经济活动和财务状况。</w:t>
      </w:r>
    </w:p>
    <w:p w14:paraId="63A06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（四）加强制度执行，规范国有资产管理</w:t>
      </w:r>
    </w:p>
    <w:p w14:paraId="72BCC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西乡县住建局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"/>
        </w:rPr>
        <w:t>严格按照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相关固定资产管理制度中的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规定，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定期对固定资产进行盘点，对闲置资产及时进行清查，强化固定资产管理工作</w:t>
      </w:r>
      <w:r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/>
        </w:rPr>
        <w:t>。</w:t>
      </w:r>
    </w:p>
    <w:p w14:paraId="77E9F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firstLine="640" w:firstLineChars="0"/>
        <w:textAlignment w:val="auto"/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/>
          <w:kern w:val="2"/>
          <w:sz w:val="32"/>
          <w:szCs w:val="32"/>
          <w:lang w:val="en-US" w:eastAsia="zh-CN"/>
        </w:rPr>
        <w:t>（五）加强项目建设管理</w:t>
      </w:r>
    </w:p>
    <w:p w14:paraId="3FAF8AB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" w:bidi="ar-SA"/>
        </w:rPr>
      </w:pP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" w:bidi="ar-SA"/>
        </w:rPr>
        <w:t>重视项目前期准备工作的重要性。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 w:bidi="ar-SA"/>
        </w:rPr>
        <w:t>二是在项目实施过程中，西乡县住建局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" w:bidi="ar-SA"/>
        </w:rPr>
        <w:t>要强化日常监管。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-CN" w:bidi="ar-SA"/>
        </w:rPr>
        <w:t>三是加强项目财务管理，</w:t>
      </w:r>
      <w:r>
        <w:rPr>
          <w:rFonts w:hint="eastAsia" w:ascii="Times New Roman" w:hAnsi="Times New Roman" w:eastAsia="仿宋_GB2312" w:cs="仿宋_GB2312"/>
          <w:snapToGrid/>
          <w:kern w:val="2"/>
          <w:sz w:val="32"/>
          <w:szCs w:val="32"/>
          <w:lang w:val="en-US" w:eastAsia="zh" w:bidi="ar-SA"/>
        </w:rPr>
        <w:t>已建成的建设项目，应按照相关规定，在规定的时限内办理竣工价款结算和财务决算审计工作，及时编制项目竣工财务决算报表，并按照规定报送项目主管部门。</w:t>
      </w:r>
    </w:p>
    <w:p w14:paraId="43CFB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黑体" w:hAnsi="黑体" w:eastAsia="黑体" w:cs="黑体"/>
          <w:snapToGrid/>
          <w:kern w:val="2"/>
          <w:sz w:val="32"/>
          <w:szCs w:val="32"/>
          <w:lang w:val="en-US" w:eastAsia="zh-CN"/>
        </w:rPr>
      </w:pPr>
    </w:p>
    <w:p w14:paraId="7E086F8F">
      <w:pPr>
        <w:pStyle w:val="2"/>
        <w:rPr>
          <w:rFonts w:hint="default"/>
          <w:lang w:val="en-US" w:eastAsia="zh-CN"/>
        </w:rPr>
      </w:pPr>
    </w:p>
    <w:p w14:paraId="621E24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default" w:ascii="Times New Roman" w:hAnsi="Times New Roman" w:eastAsia="仿宋_GB2312" w:cs="仿宋_GB2312"/>
          <w:snapToGrid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2B7E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18A0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F18A0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mRmYTA5NGU0NDQ0ZTlkMzRlNWJlNTFlZWI4MDUifQ=="/>
  </w:docVars>
  <w:rsids>
    <w:rsidRoot w:val="00000000"/>
    <w:rsid w:val="008B737C"/>
    <w:rsid w:val="0391535D"/>
    <w:rsid w:val="07C2760B"/>
    <w:rsid w:val="09F9539C"/>
    <w:rsid w:val="0AB77FE5"/>
    <w:rsid w:val="0B640F3B"/>
    <w:rsid w:val="0C6C454B"/>
    <w:rsid w:val="105772C0"/>
    <w:rsid w:val="10BF16E5"/>
    <w:rsid w:val="11905D1D"/>
    <w:rsid w:val="154047C7"/>
    <w:rsid w:val="1F824A45"/>
    <w:rsid w:val="20184D9A"/>
    <w:rsid w:val="213571AA"/>
    <w:rsid w:val="21724A7F"/>
    <w:rsid w:val="22780674"/>
    <w:rsid w:val="24BC729A"/>
    <w:rsid w:val="29B54D92"/>
    <w:rsid w:val="2B414161"/>
    <w:rsid w:val="2C222F5F"/>
    <w:rsid w:val="2CCE155D"/>
    <w:rsid w:val="2D93073E"/>
    <w:rsid w:val="2DC600DF"/>
    <w:rsid w:val="30BA449D"/>
    <w:rsid w:val="37400225"/>
    <w:rsid w:val="375C2B9C"/>
    <w:rsid w:val="38D40BFF"/>
    <w:rsid w:val="399159E4"/>
    <w:rsid w:val="3A2A1F0A"/>
    <w:rsid w:val="3A2E6291"/>
    <w:rsid w:val="3A431D67"/>
    <w:rsid w:val="3B4C6936"/>
    <w:rsid w:val="418B1A01"/>
    <w:rsid w:val="464E69E7"/>
    <w:rsid w:val="4C70768E"/>
    <w:rsid w:val="4CDB4C2D"/>
    <w:rsid w:val="539A64F3"/>
    <w:rsid w:val="546F4F3A"/>
    <w:rsid w:val="54AB56D0"/>
    <w:rsid w:val="56384F6E"/>
    <w:rsid w:val="56E50F87"/>
    <w:rsid w:val="58153374"/>
    <w:rsid w:val="5CCF0EB8"/>
    <w:rsid w:val="5D3D68F2"/>
    <w:rsid w:val="5F4A1C98"/>
    <w:rsid w:val="629C16CB"/>
    <w:rsid w:val="63534F55"/>
    <w:rsid w:val="669464C0"/>
    <w:rsid w:val="6742110E"/>
    <w:rsid w:val="68DB4B78"/>
    <w:rsid w:val="69CC3C94"/>
    <w:rsid w:val="6D1E1BAB"/>
    <w:rsid w:val="6D6C2159"/>
    <w:rsid w:val="6EA83B27"/>
    <w:rsid w:val="6F42262A"/>
    <w:rsid w:val="70851AD8"/>
    <w:rsid w:val="70A03AAD"/>
    <w:rsid w:val="722D465F"/>
    <w:rsid w:val="7CC52305"/>
    <w:rsid w:val="7DD236E2"/>
    <w:rsid w:val="7FE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1"/>
    <w:next w:val="1"/>
    <w:qFormat/>
    <w:uiPriority w:val="0"/>
    <w:pPr>
      <w:spacing w:after="120"/>
      <w:ind w:leftChars="200" w:firstLine="420" w:firstLineChars="200"/>
    </w:pPr>
  </w:style>
  <w:style w:type="paragraph" w:customStyle="1" w:styleId="10">
    <w:name w:val="样式 首行缩进:  2 字符"/>
    <w:basedOn w:val="1"/>
    <w:autoRedefine/>
    <w:qFormat/>
    <w:uiPriority w:val="0"/>
    <w:pPr>
      <w:ind w:firstLine="56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9000</Words>
  <Characters>9670</Characters>
  <Lines>0</Lines>
  <Paragraphs>0</Paragraphs>
  <TotalTime>16</TotalTime>
  <ScaleCrop>false</ScaleCrop>
  <LinksUpToDate>false</LinksUpToDate>
  <CharactersWithSpaces>9670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2024-10-05T08:23:00Z</dcterms:created>
  <dc:creator>Lenovo</dc:creator>
  <cp:lastModifiedBy>exquisite</cp:lastModifiedBy>
  <cp:lastPrinted>2024-11-01T00:31:00Z</cp:lastPrinted>
  <dcterms:modified xsi:type="dcterms:W3CDTF">2024-11-08T03:09:40Z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5E2B1A7A82DF4C1DA81A5AC94AD8F98D_12</vt:lpwstr>
  </property>
</Properties>
</file>