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77E0C">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0" w:firstLineChars="0"/>
        <w:jc w:val="center"/>
        <w:textAlignment w:val="auto"/>
        <w:rPr>
          <w:rFonts w:hint="eastAsia" w:ascii="Times New Roman" w:hAnsi="Times New Roman" w:eastAsia="方正小标宋简体" w:cs="方正小标宋简体"/>
          <w:snapToGrid/>
          <w:spacing w:val="0"/>
          <w:kern w:val="2"/>
          <w:sz w:val="44"/>
          <w:szCs w:val="44"/>
          <w:lang w:val="en-US" w:eastAsia="zh-CN"/>
        </w:rPr>
      </w:pPr>
      <w:r>
        <w:rPr>
          <w:rFonts w:hint="eastAsia" w:ascii="Times New Roman" w:hAnsi="Times New Roman" w:eastAsia="方正小标宋简体" w:cs="方正小标宋简体"/>
          <w:snapToGrid/>
          <w:spacing w:val="0"/>
          <w:kern w:val="2"/>
          <w:sz w:val="44"/>
          <w:szCs w:val="44"/>
          <w:lang w:val="en-US" w:eastAsia="zh-CN"/>
        </w:rPr>
        <w:t>2023年西乡县文化和旅游局部门整体支出</w:t>
      </w:r>
    </w:p>
    <w:p w14:paraId="7F34B91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0" w:firstLineChars="0"/>
        <w:jc w:val="center"/>
        <w:textAlignment w:val="auto"/>
        <w:rPr>
          <w:rFonts w:hint="eastAsia" w:ascii="Times New Roman" w:hAnsi="Times New Roman" w:eastAsia="方正小标宋简体" w:cs="方正小标宋简体"/>
          <w:snapToGrid/>
          <w:spacing w:val="0"/>
          <w:kern w:val="2"/>
          <w:sz w:val="44"/>
          <w:szCs w:val="44"/>
          <w:lang w:val="en-US" w:eastAsia="zh-CN"/>
        </w:rPr>
      </w:pPr>
      <w:r>
        <w:rPr>
          <w:rFonts w:hint="eastAsia" w:ascii="Times New Roman" w:hAnsi="Times New Roman" w:eastAsia="方正小标宋简体" w:cs="方正小标宋简体"/>
          <w:snapToGrid/>
          <w:spacing w:val="0"/>
          <w:kern w:val="2"/>
          <w:sz w:val="44"/>
          <w:szCs w:val="44"/>
          <w:lang w:val="en-US" w:eastAsia="zh-CN"/>
        </w:rPr>
        <w:t>绩效评价报告</w:t>
      </w:r>
    </w:p>
    <w:p w14:paraId="5124FD5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b/>
          <w:bCs/>
        </w:rPr>
      </w:pPr>
    </w:p>
    <w:p w14:paraId="4679C9D4">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rPr>
      </w:pPr>
      <w:r>
        <w:rPr>
          <w:rFonts w:hint="eastAsia" w:ascii="黑体" w:hAnsi="黑体" w:eastAsia="黑体" w:cs="黑体"/>
          <w:snapToGrid/>
          <w:spacing w:val="0"/>
          <w:kern w:val="2"/>
          <w:sz w:val="32"/>
          <w:szCs w:val="32"/>
        </w:rPr>
        <w:t>一、单位概况</w:t>
      </w:r>
    </w:p>
    <w:p w14:paraId="1A5FE253">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eastAsia="zh-CN"/>
        </w:rPr>
        <w:t>西乡县</w:t>
      </w:r>
      <w:r>
        <w:rPr>
          <w:rFonts w:hint="eastAsia" w:ascii="Times New Roman" w:hAnsi="Times New Roman" w:eastAsia="仿宋_GB2312" w:cs="仿宋_GB2312"/>
          <w:snapToGrid/>
          <w:spacing w:val="0"/>
          <w:kern w:val="2"/>
          <w:sz w:val="32"/>
          <w:szCs w:val="32"/>
          <w:lang w:val="en-US" w:eastAsia="zh-CN"/>
        </w:rPr>
        <w:t>文化和旅游</w:t>
      </w:r>
      <w:r>
        <w:rPr>
          <w:rFonts w:hint="eastAsia" w:ascii="Times New Roman" w:hAnsi="Times New Roman" w:eastAsia="仿宋_GB2312" w:cs="仿宋_GB2312"/>
          <w:snapToGrid/>
          <w:spacing w:val="0"/>
          <w:kern w:val="2"/>
          <w:sz w:val="32"/>
          <w:szCs w:val="32"/>
          <w:lang w:eastAsia="zh-CN"/>
        </w:rPr>
        <w:t>局（</w:t>
      </w:r>
      <w:r>
        <w:rPr>
          <w:rFonts w:hint="eastAsia" w:ascii="Times New Roman" w:hAnsi="Times New Roman" w:eastAsia="仿宋_GB2312" w:cs="仿宋_GB2312"/>
          <w:snapToGrid/>
          <w:spacing w:val="0"/>
          <w:kern w:val="2"/>
          <w:sz w:val="32"/>
          <w:szCs w:val="32"/>
          <w:lang w:val="en-US" w:eastAsia="zh-CN"/>
        </w:rPr>
        <w:t>以下简称县文旅局</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rPr>
        <w:t>局机关内设5个股室</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包括</w:t>
      </w:r>
      <w:r>
        <w:rPr>
          <w:rFonts w:hint="eastAsia" w:ascii="Times New Roman" w:hAnsi="Times New Roman" w:eastAsia="仿宋_GB2312" w:cs="仿宋_GB2312"/>
          <w:snapToGrid/>
          <w:spacing w:val="0"/>
          <w:kern w:val="2"/>
          <w:sz w:val="32"/>
          <w:szCs w:val="32"/>
        </w:rPr>
        <w:t>办公室、旅游股、文化股、广电股、文物股；另有</w:t>
      </w:r>
      <w:r>
        <w:rPr>
          <w:rFonts w:hint="eastAsia" w:ascii="Times New Roman" w:hAnsi="Times New Roman" w:eastAsia="仿宋_GB2312" w:cs="仿宋_GB2312"/>
          <w:snapToGrid/>
          <w:spacing w:val="0"/>
          <w:kern w:val="2"/>
          <w:sz w:val="32"/>
          <w:szCs w:val="32"/>
          <w:lang w:val="en-US" w:eastAsia="zh-CN"/>
        </w:rPr>
        <w:t>西乡</w:t>
      </w:r>
      <w:r>
        <w:rPr>
          <w:rFonts w:hint="eastAsia" w:ascii="Times New Roman" w:hAnsi="Times New Roman" w:eastAsia="仿宋_GB2312" w:cs="仿宋_GB2312"/>
          <w:snapToGrid/>
          <w:spacing w:val="0"/>
          <w:kern w:val="2"/>
          <w:sz w:val="32"/>
          <w:szCs w:val="32"/>
        </w:rPr>
        <w:t>县文化馆</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西乡</w:t>
      </w:r>
      <w:r>
        <w:rPr>
          <w:rFonts w:hint="eastAsia" w:ascii="Times New Roman" w:hAnsi="Times New Roman" w:eastAsia="仿宋_GB2312" w:cs="仿宋_GB2312"/>
          <w:snapToGrid/>
          <w:spacing w:val="0"/>
          <w:kern w:val="2"/>
          <w:sz w:val="32"/>
          <w:szCs w:val="32"/>
        </w:rPr>
        <w:t>县景区建设管理委员会</w:t>
      </w:r>
      <w:r>
        <w:rPr>
          <w:rFonts w:hint="eastAsia" w:ascii="Times New Roman" w:hAnsi="Times New Roman" w:eastAsia="仿宋_GB2312" w:cs="仿宋_GB2312"/>
          <w:snapToGrid/>
          <w:spacing w:val="0"/>
          <w:kern w:val="2"/>
          <w:sz w:val="32"/>
          <w:szCs w:val="32"/>
          <w:lang w:eastAsia="zh-CN"/>
        </w:rPr>
        <w:t>两个</w:t>
      </w:r>
      <w:r>
        <w:rPr>
          <w:rFonts w:hint="eastAsia" w:ascii="Times New Roman" w:hAnsi="Times New Roman" w:eastAsia="仿宋_GB2312" w:cs="仿宋_GB2312"/>
          <w:snapToGrid/>
          <w:spacing w:val="0"/>
          <w:kern w:val="2"/>
          <w:sz w:val="32"/>
          <w:szCs w:val="32"/>
        </w:rPr>
        <w:t>下属单位。</w:t>
      </w:r>
      <w:r>
        <w:rPr>
          <w:rFonts w:hint="eastAsia" w:ascii="Times New Roman" w:hAnsi="Times New Roman" w:eastAsia="仿宋_GB2312" w:cs="仿宋_GB2312"/>
          <w:snapToGrid/>
          <w:spacing w:val="0"/>
          <w:kern w:val="2"/>
          <w:sz w:val="32"/>
          <w:szCs w:val="32"/>
          <w:lang w:val="en-US" w:eastAsia="zh-CN"/>
        </w:rPr>
        <w:t>核定编制人数为56人，</w:t>
      </w:r>
      <w:r>
        <w:rPr>
          <w:rFonts w:hint="eastAsia" w:ascii="Times New Roman" w:hAnsi="Times New Roman" w:eastAsia="仿宋_GB2312" w:cs="仿宋_GB2312"/>
          <w:snapToGrid/>
          <w:spacing w:val="0"/>
          <w:kern w:val="2"/>
          <w:sz w:val="32"/>
          <w:szCs w:val="32"/>
          <w:lang w:eastAsia="zh-CN"/>
        </w:rPr>
        <w:t>实际在岗在编人员</w:t>
      </w:r>
      <w:r>
        <w:rPr>
          <w:rFonts w:hint="eastAsia" w:ascii="Times New Roman" w:hAnsi="Times New Roman" w:eastAsia="仿宋_GB2312" w:cs="仿宋_GB2312"/>
          <w:snapToGrid/>
          <w:spacing w:val="0"/>
          <w:kern w:val="2"/>
          <w:sz w:val="32"/>
          <w:szCs w:val="32"/>
          <w:lang w:val="en-US" w:eastAsia="zh-CN"/>
        </w:rPr>
        <w:t>为47</w:t>
      </w:r>
      <w:r>
        <w:rPr>
          <w:rFonts w:hint="eastAsia" w:ascii="Times New Roman" w:hAnsi="Times New Roman" w:eastAsia="仿宋_GB2312" w:cs="仿宋_GB2312"/>
          <w:snapToGrid/>
          <w:spacing w:val="0"/>
          <w:kern w:val="2"/>
          <w:sz w:val="32"/>
          <w:szCs w:val="32"/>
          <w:lang w:eastAsia="zh-CN"/>
        </w:rPr>
        <w:t>人。</w:t>
      </w:r>
    </w:p>
    <w:p w14:paraId="2D33DCF9">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rPr>
        <w:t>202</w:t>
      </w:r>
      <w:r>
        <w:rPr>
          <w:rFonts w:hint="eastAsia" w:ascii="Times New Roman" w:hAnsi="Times New Roman" w:eastAsia="仿宋_GB2312" w:cs="仿宋_GB2312"/>
          <w:snapToGrid/>
          <w:spacing w:val="0"/>
          <w:kern w:val="2"/>
          <w:sz w:val="32"/>
          <w:szCs w:val="32"/>
          <w:lang w:val="en-US" w:eastAsia="zh-CN"/>
        </w:rPr>
        <w:t>3</w:t>
      </w:r>
      <w:r>
        <w:rPr>
          <w:rFonts w:hint="eastAsia" w:ascii="Times New Roman" w:hAnsi="Times New Roman" w:eastAsia="仿宋_GB2312" w:cs="仿宋_GB2312"/>
          <w:snapToGrid/>
          <w:spacing w:val="0"/>
          <w:kern w:val="2"/>
          <w:sz w:val="32"/>
          <w:szCs w:val="32"/>
        </w:rPr>
        <w:t>年</w:t>
      </w:r>
      <w:r>
        <w:rPr>
          <w:rFonts w:hint="eastAsia" w:ascii="Times New Roman" w:hAnsi="Times New Roman" w:eastAsia="仿宋_GB2312" w:cs="仿宋_GB2312"/>
          <w:snapToGrid/>
          <w:spacing w:val="0"/>
          <w:kern w:val="2"/>
          <w:sz w:val="32"/>
          <w:szCs w:val="32"/>
          <w:lang w:val="en-US" w:eastAsia="zh-CN"/>
        </w:rPr>
        <w:t>西乡县文旅局</w:t>
      </w:r>
      <w:r>
        <w:rPr>
          <w:rFonts w:hint="eastAsia" w:ascii="Times New Roman" w:hAnsi="Times New Roman" w:eastAsia="仿宋_GB2312" w:cs="仿宋_GB2312"/>
          <w:snapToGrid/>
          <w:spacing w:val="0"/>
          <w:kern w:val="2"/>
          <w:sz w:val="32"/>
          <w:szCs w:val="32"/>
        </w:rPr>
        <w:t>年初预算总额</w:t>
      </w:r>
      <w:r>
        <w:rPr>
          <w:rFonts w:hint="eastAsia" w:ascii="Times New Roman" w:hAnsi="Times New Roman" w:eastAsia="仿宋_GB2312" w:cs="仿宋_GB2312"/>
          <w:snapToGrid/>
          <w:spacing w:val="0"/>
          <w:kern w:val="2"/>
          <w:sz w:val="32"/>
          <w:szCs w:val="32"/>
          <w:lang w:val="en-US" w:eastAsia="zh-CN"/>
        </w:rPr>
        <w:t>774.02万元</w:t>
      </w:r>
      <w:r>
        <w:rPr>
          <w:rFonts w:hint="eastAsia" w:ascii="Times New Roman" w:hAnsi="Times New Roman" w:eastAsia="仿宋_GB2312" w:cs="仿宋_GB2312"/>
          <w:snapToGrid/>
          <w:spacing w:val="0"/>
          <w:kern w:val="2"/>
          <w:sz w:val="32"/>
          <w:szCs w:val="32"/>
        </w:rPr>
        <w:t>，调整后预算</w:t>
      </w:r>
      <w:r>
        <w:rPr>
          <w:rFonts w:hint="eastAsia" w:ascii="Times New Roman" w:hAnsi="Times New Roman" w:eastAsia="仿宋_GB2312" w:cs="仿宋_GB2312"/>
          <w:snapToGrid/>
          <w:spacing w:val="0"/>
          <w:kern w:val="2"/>
          <w:sz w:val="32"/>
          <w:szCs w:val="32"/>
          <w:lang w:val="en-US" w:eastAsia="zh-CN"/>
        </w:rPr>
        <w:t>为30,591,505.89</w:t>
      </w:r>
      <w:r>
        <w:rPr>
          <w:rFonts w:hint="eastAsia" w:ascii="Times New Roman" w:hAnsi="Times New Roman" w:eastAsia="仿宋_GB2312" w:cs="仿宋_GB2312"/>
          <w:snapToGrid/>
          <w:spacing w:val="0"/>
          <w:kern w:val="2"/>
          <w:sz w:val="32"/>
          <w:szCs w:val="32"/>
        </w:rPr>
        <w:t>元，截</w:t>
      </w:r>
      <w:r>
        <w:rPr>
          <w:rFonts w:hint="eastAsia" w:ascii="Times New Roman" w:hAnsi="Times New Roman" w:eastAsia="仿宋_GB2312" w:cs="仿宋_GB2312"/>
          <w:snapToGrid/>
          <w:spacing w:val="0"/>
          <w:kern w:val="2"/>
          <w:sz w:val="32"/>
          <w:szCs w:val="32"/>
          <w:lang w:val="en-US" w:eastAsia="zh-CN"/>
        </w:rPr>
        <w:t>至</w:t>
      </w:r>
      <w:r>
        <w:rPr>
          <w:rFonts w:hint="eastAsia" w:ascii="Times New Roman" w:hAnsi="Times New Roman" w:eastAsia="仿宋_GB2312" w:cs="仿宋_GB2312"/>
          <w:snapToGrid/>
          <w:spacing w:val="0"/>
          <w:kern w:val="2"/>
          <w:sz w:val="32"/>
          <w:szCs w:val="32"/>
        </w:rPr>
        <w:t>202</w:t>
      </w:r>
      <w:r>
        <w:rPr>
          <w:rFonts w:hint="eastAsia" w:ascii="Times New Roman" w:hAnsi="Times New Roman" w:eastAsia="仿宋_GB2312" w:cs="仿宋_GB2312"/>
          <w:snapToGrid/>
          <w:spacing w:val="0"/>
          <w:kern w:val="2"/>
          <w:sz w:val="32"/>
          <w:szCs w:val="32"/>
          <w:lang w:val="en-US" w:eastAsia="zh-CN"/>
        </w:rPr>
        <w:t>3</w:t>
      </w:r>
      <w:r>
        <w:rPr>
          <w:rFonts w:hint="eastAsia" w:ascii="Times New Roman" w:hAnsi="Times New Roman" w:eastAsia="仿宋_GB2312" w:cs="仿宋_GB2312"/>
          <w:snapToGrid/>
          <w:spacing w:val="0"/>
          <w:kern w:val="2"/>
          <w:sz w:val="32"/>
          <w:szCs w:val="32"/>
        </w:rPr>
        <w:t>年12月31日，实际执行</w:t>
      </w:r>
      <w:r>
        <w:rPr>
          <w:rFonts w:hint="eastAsia" w:ascii="Times New Roman" w:hAnsi="Times New Roman" w:eastAsia="仿宋_GB2312" w:cs="仿宋_GB2312"/>
          <w:snapToGrid/>
          <w:spacing w:val="0"/>
          <w:kern w:val="2"/>
          <w:sz w:val="32"/>
          <w:szCs w:val="32"/>
          <w:lang w:val="en-US" w:eastAsia="zh-CN"/>
        </w:rPr>
        <w:t>20,106,379.09</w:t>
      </w:r>
      <w:r>
        <w:rPr>
          <w:rFonts w:hint="eastAsia" w:ascii="Times New Roman" w:hAnsi="Times New Roman" w:eastAsia="仿宋_GB2312" w:cs="仿宋_GB2312"/>
          <w:snapToGrid/>
          <w:spacing w:val="0"/>
          <w:kern w:val="2"/>
          <w:sz w:val="32"/>
          <w:szCs w:val="32"/>
        </w:rPr>
        <w:t>万元，预算执行率</w:t>
      </w:r>
      <w:r>
        <w:rPr>
          <w:rFonts w:hint="eastAsia" w:ascii="Times New Roman" w:hAnsi="Times New Roman" w:eastAsia="仿宋_GB2312" w:cs="仿宋_GB2312"/>
          <w:snapToGrid/>
          <w:spacing w:val="0"/>
          <w:kern w:val="2"/>
          <w:sz w:val="32"/>
          <w:szCs w:val="32"/>
          <w:lang w:val="en-US" w:eastAsia="zh-CN"/>
        </w:rPr>
        <w:t>65.73</w:t>
      </w:r>
      <w:r>
        <w:rPr>
          <w:rFonts w:hint="eastAsia" w:ascii="Times New Roman" w:hAnsi="Times New Roman" w:eastAsia="仿宋_GB2312" w:cs="仿宋_GB2312"/>
          <w:snapToGrid/>
          <w:spacing w:val="0"/>
          <w:kern w:val="2"/>
          <w:sz w:val="32"/>
          <w:szCs w:val="32"/>
        </w:rPr>
        <w:t>%，预算执行</w:t>
      </w:r>
      <w:r>
        <w:rPr>
          <w:rFonts w:hint="eastAsia" w:ascii="Times New Roman" w:hAnsi="Times New Roman" w:eastAsia="仿宋_GB2312" w:cs="仿宋_GB2312"/>
          <w:snapToGrid/>
          <w:spacing w:val="0"/>
          <w:kern w:val="2"/>
          <w:sz w:val="32"/>
          <w:szCs w:val="32"/>
          <w:lang w:val="en-US" w:eastAsia="zh-CN"/>
        </w:rPr>
        <w:t>进度缓慢</w:t>
      </w:r>
      <w:r>
        <w:rPr>
          <w:rFonts w:hint="eastAsia" w:ascii="Times New Roman" w:hAnsi="Times New Roman" w:eastAsia="仿宋_GB2312" w:cs="仿宋_GB2312"/>
          <w:snapToGrid/>
          <w:spacing w:val="0"/>
          <w:kern w:val="2"/>
          <w:sz w:val="32"/>
          <w:szCs w:val="32"/>
        </w:rPr>
        <w:t>。</w:t>
      </w:r>
    </w:p>
    <w:p w14:paraId="2D7D2210">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2023年西乡县文旅局开展的工作任务主要围绕“旅游工作（按照“一心两翼三区四线”总体规划）”“文化工作”“广电工作”“文物工作”及“重点项目谋划”</w:t>
      </w:r>
      <w:r>
        <w:rPr>
          <w:rFonts w:hint="eastAsia" w:ascii="Times New Roman" w:hAnsi="Times New Roman" w:cs="仿宋_GB2312"/>
          <w:snapToGrid/>
          <w:spacing w:val="0"/>
          <w:kern w:val="2"/>
          <w:sz w:val="32"/>
          <w:szCs w:val="32"/>
          <w:lang w:val="en-US" w:eastAsia="zh-CN"/>
        </w:rPr>
        <w:t>，</w:t>
      </w:r>
      <w:r>
        <w:rPr>
          <w:rFonts w:hint="eastAsia" w:ascii="Times New Roman" w:hAnsi="Times New Roman" w:eastAsia="仿宋_GB2312" w:cs="仿宋_GB2312"/>
          <w:snapToGrid/>
          <w:spacing w:val="0"/>
          <w:kern w:val="2"/>
          <w:sz w:val="32"/>
          <w:szCs w:val="32"/>
          <w:lang w:val="en-US" w:eastAsia="zh-CN"/>
        </w:rPr>
        <w:t>通过对以上几项工作的实施，推进西乡县文化和旅游业高质量发展。</w:t>
      </w:r>
    </w:p>
    <w:p w14:paraId="3F8505F8">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黑体" w:hAnsi="黑体" w:eastAsia="黑体" w:cs="黑体"/>
          <w:snapToGrid/>
          <w:spacing w:val="0"/>
          <w:kern w:val="2"/>
          <w:sz w:val="32"/>
          <w:szCs w:val="32"/>
          <w:lang w:eastAsia="zh-CN"/>
        </w:rPr>
      </w:pPr>
      <w:r>
        <w:rPr>
          <w:rFonts w:hint="eastAsia" w:ascii="黑体" w:hAnsi="黑体" w:eastAsia="黑体" w:cs="黑体"/>
          <w:snapToGrid/>
          <w:spacing w:val="0"/>
          <w:kern w:val="2"/>
          <w:sz w:val="32"/>
          <w:szCs w:val="32"/>
          <w:lang w:eastAsia="zh-CN"/>
        </w:rPr>
        <w:t>二、评价结论</w:t>
      </w:r>
    </w:p>
    <w:p w14:paraId="1FFB8C55">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运用由评价小组设计并通过审核的评价指标体系及评分标准，通过数据采集、问卷调查及访谈等方法，对西乡县文旅局2023年度部门（单位）整体支出绩效进行客观评价，最终评分结果：项目总得分为81.91分，绩效评级为“良”。具体如下表：</w:t>
      </w:r>
    </w:p>
    <w:p w14:paraId="4B618046">
      <w:pPr>
        <w:pStyle w:val="10"/>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p>
    <w:p w14:paraId="046ED62E">
      <w:pPr>
        <w:pStyle w:val="10"/>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lang w:val="en-US" w:eastAsia="zh-CN"/>
        </w:rPr>
      </w:pP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1"/>
        <w:gridCol w:w="2211"/>
        <w:gridCol w:w="2211"/>
        <w:gridCol w:w="2227"/>
      </w:tblGrid>
      <w:tr w14:paraId="05FB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exact"/>
          <w:tblHeader/>
          <w:jc w:val="center"/>
        </w:trPr>
        <w:tc>
          <w:tcPr>
            <w:tcW w:w="1248" w:type="pct"/>
            <w:shd w:val="clear" w:color="auto" w:fill="auto"/>
            <w:tcMar>
              <w:top w:w="10" w:type="dxa"/>
              <w:left w:w="10" w:type="dxa"/>
              <w:right w:w="10" w:type="dxa"/>
            </w:tcMar>
            <w:vAlign w:val="center"/>
          </w:tcPr>
          <w:p w14:paraId="01D13FB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一级指标</w:t>
            </w:r>
          </w:p>
        </w:tc>
        <w:tc>
          <w:tcPr>
            <w:tcW w:w="1248" w:type="pct"/>
            <w:shd w:val="clear" w:color="auto" w:fill="auto"/>
            <w:tcMar>
              <w:top w:w="10" w:type="dxa"/>
              <w:left w:w="10" w:type="dxa"/>
              <w:right w:w="10" w:type="dxa"/>
            </w:tcMar>
            <w:vAlign w:val="center"/>
          </w:tcPr>
          <w:p w14:paraId="29D5C142">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分值</w:t>
            </w:r>
          </w:p>
        </w:tc>
        <w:tc>
          <w:tcPr>
            <w:tcW w:w="1248" w:type="pct"/>
            <w:shd w:val="clear" w:color="auto" w:fill="auto"/>
            <w:tcMar>
              <w:top w:w="10" w:type="dxa"/>
              <w:left w:w="10" w:type="dxa"/>
              <w:right w:w="10" w:type="dxa"/>
            </w:tcMar>
            <w:vAlign w:val="center"/>
          </w:tcPr>
          <w:p w14:paraId="57E1F4D0">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得分</w:t>
            </w:r>
          </w:p>
        </w:tc>
        <w:tc>
          <w:tcPr>
            <w:tcW w:w="1253" w:type="pct"/>
            <w:shd w:val="clear" w:color="auto" w:fill="auto"/>
            <w:tcMar>
              <w:top w:w="10" w:type="dxa"/>
              <w:left w:w="10" w:type="dxa"/>
              <w:right w:w="10" w:type="dxa"/>
            </w:tcMar>
            <w:vAlign w:val="center"/>
          </w:tcPr>
          <w:p w14:paraId="048A862C">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得分率</w:t>
            </w:r>
          </w:p>
        </w:tc>
      </w:tr>
      <w:tr w14:paraId="56C7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exact"/>
          <w:jc w:val="center"/>
        </w:trPr>
        <w:tc>
          <w:tcPr>
            <w:tcW w:w="1248" w:type="pct"/>
            <w:shd w:val="clear" w:color="auto" w:fill="auto"/>
            <w:tcMar>
              <w:top w:w="10" w:type="dxa"/>
              <w:left w:w="10" w:type="dxa"/>
              <w:right w:w="10" w:type="dxa"/>
            </w:tcMar>
            <w:vAlign w:val="center"/>
          </w:tcPr>
          <w:p w14:paraId="2EB18355">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投入</w:t>
            </w:r>
          </w:p>
        </w:tc>
        <w:tc>
          <w:tcPr>
            <w:tcW w:w="1248" w:type="pct"/>
            <w:shd w:val="clear" w:color="auto" w:fill="auto"/>
            <w:tcMar>
              <w:top w:w="10" w:type="dxa"/>
              <w:left w:w="10" w:type="dxa"/>
              <w:right w:w="10" w:type="dxa"/>
            </w:tcMar>
            <w:vAlign w:val="center"/>
          </w:tcPr>
          <w:p w14:paraId="484484A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15</w:t>
            </w:r>
          </w:p>
        </w:tc>
        <w:tc>
          <w:tcPr>
            <w:tcW w:w="1248" w:type="pct"/>
            <w:shd w:val="clear" w:color="auto" w:fill="auto"/>
            <w:tcMar>
              <w:top w:w="10" w:type="dxa"/>
              <w:left w:w="10" w:type="dxa"/>
              <w:right w:w="10" w:type="dxa"/>
            </w:tcMar>
            <w:vAlign w:val="center"/>
          </w:tcPr>
          <w:p w14:paraId="134C3D3A">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10.00</w:t>
            </w:r>
          </w:p>
        </w:tc>
        <w:tc>
          <w:tcPr>
            <w:tcW w:w="2141" w:type="dxa"/>
            <w:shd w:val="clear" w:color="auto" w:fill="auto"/>
            <w:tcMar>
              <w:top w:w="10" w:type="dxa"/>
              <w:left w:w="10" w:type="dxa"/>
              <w:right w:w="10" w:type="dxa"/>
            </w:tcMar>
            <w:vAlign w:val="center"/>
          </w:tcPr>
          <w:p w14:paraId="7FBFC96C">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66.67%</w:t>
            </w:r>
          </w:p>
        </w:tc>
      </w:tr>
      <w:tr w14:paraId="6A4F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48" w:type="pct"/>
            <w:shd w:val="clear" w:color="auto" w:fill="auto"/>
            <w:tcMar>
              <w:top w:w="10" w:type="dxa"/>
              <w:left w:w="10" w:type="dxa"/>
              <w:right w:w="10" w:type="dxa"/>
            </w:tcMar>
            <w:vAlign w:val="center"/>
          </w:tcPr>
          <w:p w14:paraId="26EC922A">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过程</w:t>
            </w:r>
          </w:p>
        </w:tc>
        <w:tc>
          <w:tcPr>
            <w:tcW w:w="1248" w:type="pct"/>
            <w:shd w:val="clear" w:color="auto" w:fill="auto"/>
            <w:tcMar>
              <w:top w:w="10" w:type="dxa"/>
              <w:left w:w="10" w:type="dxa"/>
              <w:right w:w="10" w:type="dxa"/>
            </w:tcMar>
            <w:vAlign w:val="center"/>
          </w:tcPr>
          <w:p w14:paraId="247A3C80">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3</w:t>
            </w:r>
            <w:r>
              <w:rPr>
                <w:rFonts w:hint="default" w:ascii="Times New Roman" w:hAnsi="Times New Roman" w:eastAsia="仿宋" w:cs="Times New Roman"/>
                <w:snapToGrid/>
                <w:spacing w:val="0"/>
                <w:kern w:val="2"/>
                <w:sz w:val="24"/>
                <w:szCs w:val="24"/>
              </w:rPr>
              <w:t>0</w:t>
            </w:r>
          </w:p>
        </w:tc>
        <w:tc>
          <w:tcPr>
            <w:tcW w:w="1248" w:type="pct"/>
            <w:shd w:val="clear" w:color="auto" w:fill="auto"/>
            <w:tcMar>
              <w:top w:w="10" w:type="dxa"/>
              <w:left w:w="10" w:type="dxa"/>
              <w:right w:w="10" w:type="dxa"/>
            </w:tcMar>
            <w:vAlign w:val="center"/>
          </w:tcPr>
          <w:p w14:paraId="4797FB54">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eastAsia" w:ascii="Times New Roman" w:hAnsi="Times New Roman" w:eastAsia="仿宋" w:cs="Times New Roman"/>
                <w:snapToGrid/>
                <w:spacing w:val="0"/>
                <w:kern w:val="2"/>
                <w:sz w:val="24"/>
                <w:szCs w:val="24"/>
                <w:lang w:val="en-US" w:eastAsia="zh-CN"/>
              </w:rPr>
              <w:t>21.74</w:t>
            </w:r>
          </w:p>
        </w:tc>
        <w:tc>
          <w:tcPr>
            <w:tcW w:w="2141" w:type="dxa"/>
            <w:shd w:val="clear" w:color="auto" w:fill="auto"/>
            <w:tcMar>
              <w:top w:w="10" w:type="dxa"/>
              <w:left w:w="10" w:type="dxa"/>
              <w:right w:w="10" w:type="dxa"/>
            </w:tcMar>
            <w:vAlign w:val="center"/>
          </w:tcPr>
          <w:p w14:paraId="1BB6B03B">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eastAsia" w:ascii="Times New Roman" w:hAnsi="Times New Roman" w:eastAsia="仿宋" w:cs="Times New Roman"/>
                <w:snapToGrid/>
                <w:spacing w:val="0"/>
                <w:kern w:val="2"/>
                <w:sz w:val="24"/>
                <w:szCs w:val="24"/>
                <w:lang w:val="en-US" w:eastAsia="zh-CN"/>
              </w:rPr>
              <w:t>72.47</w:t>
            </w:r>
            <w:r>
              <w:rPr>
                <w:rFonts w:hint="default" w:ascii="Times New Roman" w:hAnsi="Times New Roman" w:eastAsia="仿宋" w:cs="Times New Roman"/>
                <w:snapToGrid/>
                <w:spacing w:val="0"/>
                <w:kern w:val="2"/>
                <w:sz w:val="24"/>
                <w:szCs w:val="24"/>
                <w:lang w:val="en-US" w:eastAsia="zh-CN"/>
              </w:rPr>
              <w:t>%</w:t>
            </w:r>
          </w:p>
        </w:tc>
      </w:tr>
      <w:tr w14:paraId="7D99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48" w:type="pct"/>
            <w:shd w:val="clear" w:color="auto" w:fill="auto"/>
            <w:tcMar>
              <w:top w:w="10" w:type="dxa"/>
              <w:left w:w="10" w:type="dxa"/>
              <w:right w:w="10" w:type="dxa"/>
            </w:tcMar>
            <w:vAlign w:val="center"/>
          </w:tcPr>
          <w:p w14:paraId="7829F468">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产出</w:t>
            </w:r>
          </w:p>
        </w:tc>
        <w:tc>
          <w:tcPr>
            <w:tcW w:w="1248" w:type="pct"/>
            <w:shd w:val="clear" w:color="auto" w:fill="auto"/>
            <w:tcMar>
              <w:top w:w="10" w:type="dxa"/>
              <w:left w:w="10" w:type="dxa"/>
              <w:right w:w="10" w:type="dxa"/>
            </w:tcMar>
            <w:vAlign w:val="center"/>
          </w:tcPr>
          <w:p w14:paraId="1E009003">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3</w:t>
            </w:r>
            <w:r>
              <w:rPr>
                <w:rFonts w:hint="default" w:ascii="Times New Roman" w:hAnsi="Times New Roman" w:eastAsia="仿宋" w:cs="Times New Roman"/>
                <w:snapToGrid/>
                <w:spacing w:val="0"/>
                <w:kern w:val="2"/>
                <w:sz w:val="24"/>
                <w:szCs w:val="24"/>
              </w:rPr>
              <w:t>0</w:t>
            </w:r>
          </w:p>
        </w:tc>
        <w:tc>
          <w:tcPr>
            <w:tcW w:w="1248" w:type="pct"/>
            <w:shd w:val="clear" w:color="auto" w:fill="auto"/>
            <w:tcMar>
              <w:top w:w="10" w:type="dxa"/>
              <w:left w:w="10" w:type="dxa"/>
              <w:right w:w="10" w:type="dxa"/>
            </w:tcMar>
            <w:vAlign w:val="center"/>
          </w:tcPr>
          <w:p w14:paraId="2CE41EDC">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26.39</w:t>
            </w:r>
          </w:p>
        </w:tc>
        <w:tc>
          <w:tcPr>
            <w:tcW w:w="2141" w:type="dxa"/>
            <w:shd w:val="clear" w:color="auto" w:fill="auto"/>
            <w:tcMar>
              <w:top w:w="10" w:type="dxa"/>
              <w:left w:w="10" w:type="dxa"/>
              <w:right w:w="10" w:type="dxa"/>
            </w:tcMar>
            <w:vAlign w:val="center"/>
          </w:tcPr>
          <w:p w14:paraId="7F00113F">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87.97%</w:t>
            </w:r>
          </w:p>
        </w:tc>
      </w:tr>
      <w:tr w14:paraId="7EC0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48" w:type="pct"/>
            <w:shd w:val="clear" w:color="auto" w:fill="auto"/>
            <w:tcMar>
              <w:top w:w="10" w:type="dxa"/>
              <w:left w:w="10" w:type="dxa"/>
              <w:right w:w="10" w:type="dxa"/>
            </w:tcMar>
            <w:vAlign w:val="center"/>
          </w:tcPr>
          <w:p w14:paraId="50C781EC">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效益</w:t>
            </w:r>
          </w:p>
        </w:tc>
        <w:tc>
          <w:tcPr>
            <w:tcW w:w="1248" w:type="pct"/>
            <w:shd w:val="clear" w:color="auto" w:fill="auto"/>
            <w:tcMar>
              <w:top w:w="10" w:type="dxa"/>
              <w:left w:w="10" w:type="dxa"/>
              <w:right w:w="10" w:type="dxa"/>
            </w:tcMar>
            <w:vAlign w:val="center"/>
          </w:tcPr>
          <w:p w14:paraId="02B784FE">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25</w:t>
            </w:r>
          </w:p>
        </w:tc>
        <w:tc>
          <w:tcPr>
            <w:tcW w:w="1248" w:type="pct"/>
            <w:shd w:val="clear" w:color="auto" w:fill="auto"/>
            <w:tcMar>
              <w:top w:w="10" w:type="dxa"/>
              <w:left w:w="10" w:type="dxa"/>
              <w:right w:w="10" w:type="dxa"/>
            </w:tcMar>
            <w:vAlign w:val="center"/>
          </w:tcPr>
          <w:p w14:paraId="1BBC3E8A">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23.78</w:t>
            </w:r>
          </w:p>
        </w:tc>
        <w:tc>
          <w:tcPr>
            <w:tcW w:w="2141" w:type="dxa"/>
            <w:shd w:val="clear" w:color="auto" w:fill="auto"/>
            <w:tcMar>
              <w:top w:w="10" w:type="dxa"/>
              <w:left w:w="10" w:type="dxa"/>
              <w:right w:w="10" w:type="dxa"/>
            </w:tcMar>
            <w:vAlign w:val="center"/>
          </w:tcPr>
          <w:p w14:paraId="436B6EDC">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95.12%</w:t>
            </w:r>
          </w:p>
        </w:tc>
      </w:tr>
      <w:tr w14:paraId="7DA5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48" w:type="pct"/>
            <w:shd w:val="clear" w:color="auto" w:fill="auto"/>
            <w:tcMar>
              <w:top w:w="10" w:type="dxa"/>
              <w:left w:w="10" w:type="dxa"/>
              <w:right w:w="10" w:type="dxa"/>
            </w:tcMar>
            <w:vAlign w:val="center"/>
          </w:tcPr>
          <w:p w14:paraId="2C82C86A">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合计</w:t>
            </w:r>
          </w:p>
        </w:tc>
        <w:tc>
          <w:tcPr>
            <w:tcW w:w="1248" w:type="pct"/>
            <w:shd w:val="clear" w:color="auto" w:fill="auto"/>
            <w:tcMar>
              <w:top w:w="10" w:type="dxa"/>
              <w:left w:w="10" w:type="dxa"/>
              <w:right w:w="10" w:type="dxa"/>
            </w:tcMar>
            <w:vAlign w:val="center"/>
          </w:tcPr>
          <w:p w14:paraId="0AE3BCE0">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default" w:ascii="Times New Roman" w:hAnsi="Times New Roman" w:eastAsia="仿宋" w:cs="Times New Roman"/>
                <w:snapToGrid/>
                <w:spacing w:val="0"/>
                <w:kern w:val="2"/>
                <w:sz w:val="24"/>
                <w:szCs w:val="24"/>
                <w:lang w:val="en-US" w:eastAsia="zh-CN"/>
              </w:rPr>
              <w:t>100</w:t>
            </w:r>
          </w:p>
        </w:tc>
        <w:tc>
          <w:tcPr>
            <w:tcW w:w="1248" w:type="pct"/>
            <w:shd w:val="clear" w:color="auto" w:fill="auto"/>
            <w:tcMar>
              <w:top w:w="10" w:type="dxa"/>
              <w:left w:w="10" w:type="dxa"/>
              <w:right w:w="10" w:type="dxa"/>
            </w:tcMar>
            <w:vAlign w:val="center"/>
          </w:tcPr>
          <w:p w14:paraId="75BCC05F">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eastAsia" w:ascii="Times New Roman" w:hAnsi="Times New Roman" w:eastAsia="仿宋" w:cs="Times New Roman"/>
                <w:snapToGrid/>
                <w:spacing w:val="0"/>
                <w:kern w:val="2"/>
                <w:sz w:val="24"/>
                <w:szCs w:val="24"/>
                <w:lang w:val="en-US" w:eastAsia="zh-CN"/>
              </w:rPr>
              <w:t>81.91</w:t>
            </w:r>
          </w:p>
        </w:tc>
        <w:tc>
          <w:tcPr>
            <w:tcW w:w="2141" w:type="dxa"/>
            <w:shd w:val="clear" w:color="auto" w:fill="auto"/>
            <w:tcMar>
              <w:top w:w="10" w:type="dxa"/>
              <w:left w:w="10" w:type="dxa"/>
              <w:right w:w="10" w:type="dxa"/>
            </w:tcMar>
            <w:vAlign w:val="center"/>
          </w:tcPr>
          <w:p w14:paraId="07D75C78">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 w:cs="Times New Roman"/>
                <w:snapToGrid/>
                <w:spacing w:val="0"/>
                <w:kern w:val="2"/>
                <w:sz w:val="24"/>
                <w:szCs w:val="24"/>
                <w:lang w:val="en-US" w:eastAsia="zh-CN"/>
              </w:rPr>
            </w:pPr>
            <w:r>
              <w:rPr>
                <w:rFonts w:hint="eastAsia" w:ascii="Times New Roman" w:hAnsi="Times New Roman" w:eastAsia="仿宋" w:cs="Times New Roman"/>
                <w:snapToGrid/>
                <w:spacing w:val="0"/>
                <w:kern w:val="2"/>
                <w:sz w:val="24"/>
                <w:szCs w:val="24"/>
                <w:lang w:val="en-US" w:eastAsia="zh-CN"/>
              </w:rPr>
              <w:t>81.91</w:t>
            </w:r>
            <w:r>
              <w:rPr>
                <w:rFonts w:hint="default" w:ascii="Times New Roman" w:hAnsi="Times New Roman" w:eastAsia="仿宋" w:cs="Times New Roman"/>
                <w:snapToGrid/>
                <w:spacing w:val="0"/>
                <w:kern w:val="2"/>
                <w:sz w:val="24"/>
                <w:szCs w:val="24"/>
                <w:lang w:val="en-US" w:eastAsia="zh-CN"/>
              </w:rPr>
              <w:t>%</w:t>
            </w:r>
          </w:p>
        </w:tc>
      </w:tr>
      <w:tr w14:paraId="6FB6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000" w:type="pct"/>
            <w:gridSpan w:val="4"/>
            <w:shd w:val="clear" w:color="auto" w:fill="auto"/>
            <w:tcMar>
              <w:top w:w="10" w:type="dxa"/>
              <w:left w:w="10" w:type="dxa"/>
              <w:right w:w="10" w:type="dxa"/>
            </w:tcMar>
            <w:vAlign w:val="center"/>
          </w:tcPr>
          <w:p w14:paraId="6B334E6E">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1692" w:firstLineChars="705"/>
              <w:textAlignment w:val="auto"/>
              <w:rPr>
                <w:rFonts w:hint="eastAsia" w:ascii="仿宋" w:hAnsi="仿宋" w:eastAsia="仿宋" w:cs="仿宋"/>
                <w:snapToGrid/>
                <w:spacing w:val="0"/>
                <w:kern w:val="2"/>
                <w:sz w:val="24"/>
                <w:szCs w:val="24"/>
                <w:lang w:val="en-US" w:eastAsia="zh-CN"/>
              </w:rPr>
            </w:pPr>
            <w:r>
              <w:rPr>
                <w:rFonts w:hint="eastAsia" w:ascii="仿宋" w:hAnsi="仿宋" w:eastAsia="仿宋" w:cs="仿宋"/>
                <w:snapToGrid/>
                <w:spacing w:val="0"/>
                <w:kern w:val="2"/>
                <w:sz w:val="24"/>
                <w:szCs w:val="24"/>
                <w:lang w:val="en-US" w:eastAsia="zh-CN"/>
              </w:rPr>
              <w:t>绩效评价得分：81.91分综合评价结果等级：良</w:t>
            </w:r>
          </w:p>
        </w:tc>
      </w:tr>
    </w:tbl>
    <w:p w14:paraId="25EE47F4">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黑体" w:hAnsi="黑体" w:eastAsia="黑体" w:cs="黑体"/>
          <w:snapToGrid/>
          <w:spacing w:val="0"/>
          <w:kern w:val="2"/>
          <w:sz w:val="32"/>
          <w:szCs w:val="32"/>
          <w:lang w:eastAsia="zh-CN"/>
        </w:rPr>
      </w:pPr>
      <w:r>
        <w:rPr>
          <w:rFonts w:hint="eastAsia" w:ascii="黑体" w:hAnsi="黑体" w:eastAsia="黑体" w:cs="黑体"/>
          <w:snapToGrid/>
          <w:spacing w:val="0"/>
          <w:kern w:val="2"/>
          <w:sz w:val="32"/>
          <w:szCs w:val="32"/>
          <w:lang w:eastAsia="zh-CN"/>
        </w:rPr>
        <w:t>三、主要经验及做法</w:t>
      </w:r>
    </w:p>
    <w:p w14:paraId="326F21F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（一）加强文旅融合，助推产业发展</w:t>
      </w:r>
    </w:p>
    <w:p w14:paraId="4515C31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一是西乡县文旅局深入贯彻落实省、市、县高质量项目推进年工作要求，制定印发《西乡县文旅行业高质量项目推进年工作方案》，以市、县级重点文旅项目为抓手，全力推进项目建设。二是优化服务，指导景区提档升级。三是与时俱进，拓宽多旅融合发展途径。</w:t>
      </w:r>
    </w:p>
    <w:p w14:paraId="1F33AFC0">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（二）加强文化惠民，助力群众共享</w:t>
      </w:r>
    </w:p>
    <w:p w14:paraId="15390ECF">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一是强短补弱，深入推进公共文化服务高质量发展。二是戏曲进乡村，助力乡村文化振兴。三是以人为本，提升公共文化服务。四是规范执法，营造健康营商环境，聚焦“群众所需、企业所盼”，统筹推进营商环境优化工作，助力文旅产业提质增效，加强文旅市场执法监督，强化安全隐患排查整治。</w:t>
      </w:r>
    </w:p>
    <w:p w14:paraId="5317ACAE">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（三）加强文物保护，传承历史文化</w:t>
      </w:r>
    </w:p>
    <w:p w14:paraId="0CB32D3B">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仿宋_GB2312" w:cs="仿宋_GB2312"/>
          <w:snapToGrid/>
          <w:spacing w:val="0"/>
          <w:kern w:val="2"/>
          <w:sz w:val="32"/>
          <w:szCs w:val="32"/>
          <w:lang w:val="en-US" w:eastAsia="zh-CN"/>
        </w:rPr>
        <w:t>一是要</w:t>
      </w:r>
      <w:r>
        <w:rPr>
          <w:rFonts w:hint="eastAsia" w:ascii="Times New Roman" w:hAnsi="Times New Roman" w:eastAsia="仿宋_GB2312" w:cs="仿宋_GB2312"/>
          <w:snapToGrid/>
          <w:spacing w:val="0"/>
          <w:kern w:val="2"/>
          <w:sz w:val="32"/>
          <w:szCs w:val="32"/>
        </w:rPr>
        <w:t>坚守文物安全底线，防范重大文物安全事故发生。抓好文物安全日常巡查工作。</w:t>
      </w:r>
      <w:r>
        <w:rPr>
          <w:rFonts w:hint="eastAsia" w:ascii="Times New Roman" w:hAnsi="Times New Roman" w:eastAsia="仿宋_GB2312" w:cs="仿宋_GB2312"/>
          <w:snapToGrid/>
          <w:spacing w:val="0"/>
          <w:kern w:val="2"/>
          <w:sz w:val="32"/>
          <w:szCs w:val="32"/>
          <w:lang w:val="en-US" w:eastAsia="zh-CN"/>
        </w:rPr>
        <w:t>二是全力推进县博物馆陈列布展项目，及时跟进钟家沟红四方面军指挥部旧址维修工程。三是认真梳理文物行政许可事项</w:t>
      </w:r>
      <w:r>
        <w:rPr>
          <w:rFonts w:hint="eastAsia" w:ascii="Times New Roman" w:hAnsi="Times New Roman" w:cs="仿宋_GB2312"/>
          <w:snapToGrid/>
          <w:spacing w:val="0"/>
          <w:kern w:val="2"/>
          <w:sz w:val="32"/>
          <w:szCs w:val="32"/>
          <w:lang w:val="en-US" w:eastAsia="zh-CN"/>
        </w:rPr>
        <w:t>，</w:t>
      </w:r>
      <w:r>
        <w:rPr>
          <w:rFonts w:hint="eastAsia" w:ascii="Times New Roman" w:hAnsi="Times New Roman" w:eastAsia="仿宋_GB2312" w:cs="仿宋_GB2312"/>
          <w:snapToGrid/>
          <w:spacing w:val="0"/>
          <w:kern w:val="2"/>
          <w:sz w:val="32"/>
          <w:szCs w:val="32"/>
          <w:lang w:val="en-US" w:eastAsia="zh-CN"/>
        </w:rPr>
        <w:t>编报办事指南，为下一步移交工作做好准备；与省、市考古单位建立良好互动，落实建设前考古勘探工作；及时宣传报道文物工作动态，挖掘县域历史文物价值，为公众普及县域历史文化知识</w:t>
      </w:r>
      <w:r>
        <w:rPr>
          <w:rFonts w:hint="eastAsia" w:ascii="Times New Roman" w:hAnsi="Times New Roman" w:cs="仿宋_GB2312"/>
          <w:snapToGrid/>
          <w:spacing w:val="0"/>
          <w:kern w:val="2"/>
          <w:sz w:val="32"/>
          <w:szCs w:val="32"/>
          <w:lang w:val="en-US" w:eastAsia="zh-CN"/>
        </w:rPr>
        <w:t>；</w:t>
      </w:r>
      <w:r>
        <w:rPr>
          <w:rFonts w:hint="eastAsia" w:ascii="Times New Roman" w:hAnsi="Times New Roman" w:eastAsia="仿宋_GB2312" w:cs="仿宋_GB2312"/>
          <w:snapToGrid/>
          <w:spacing w:val="0"/>
          <w:kern w:val="2"/>
          <w:sz w:val="32"/>
          <w:szCs w:val="32"/>
          <w:lang w:val="en-US" w:eastAsia="zh-CN"/>
        </w:rPr>
        <w:t>利用各类媒体宣传西乡重要历史人物等，在全县营造浓厚的文物保护氛围。</w:t>
      </w:r>
    </w:p>
    <w:p w14:paraId="21DAD606">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黑体" w:hAnsi="黑体" w:eastAsia="黑体" w:cs="黑体"/>
          <w:snapToGrid/>
          <w:spacing w:val="0"/>
          <w:kern w:val="2"/>
          <w:sz w:val="32"/>
          <w:szCs w:val="32"/>
        </w:rPr>
      </w:pPr>
      <w:r>
        <w:rPr>
          <w:rFonts w:hint="eastAsia" w:ascii="黑体" w:hAnsi="黑体" w:eastAsia="黑体" w:cs="黑体"/>
          <w:snapToGrid/>
          <w:spacing w:val="0"/>
          <w:kern w:val="2"/>
          <w:sz w:val="32"/>
          <w:szCs w:val="32"/>
          <w:lang w:val="en-US" w:eastAsia="zh-CN"/>
        </w:rPr>
        <w:t>四、</w:t>
      </w:r>
      <w:r>
        <w:rPr>
          <w:rFonts w:hint="eastAsia" w:ascii="黑体" w:hAnsi="黑体" w:eastAsia="黑体" w:cs="黑体"/>
          <w:snapToGrid/>
          <w:spacing w:val="0"/>
          <w:kern w:val="2"/>
          <w:sz w:val="32"/>
          <w:szCs w:val="32"/>
        </w:rPr>
        <w:t>存在问题</w:t>
      </w:r>
    </w:p>
    <w:p w14:paraId="54838C32">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（一）预算管理制度制定不完善，预算编制依据不充分</w:t>
      </w:r>
    </w:p>
    <w:p w14:paraId="1070070B">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一是预算管理制度未能明确确定西乡县文旅局内部预算决策权责</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二是预算编制依据资料不充分。三是预算调整数额过大，年初预算编制不完整、不细致。</w:t>
      </w:r>
    </w:p>
    <w:p w14:paraId="73CB79C5">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rPr>
      </w:pPr>
      <w:r>
        <w:rPr>
          <w:rFonts w:hint="eastAsia" w:ascii="楷体_GB2312" w:hAnsi="楷体_GB2312" w:eastAsia="楷体_GB2312" w:cs="楷体_GB2312"/>
          <w:snapToGrid/>
          <w:spacing w:val="0"/>
          <w:kern w:val="2"/>
          <w:sz w:val="32"/>
          <w:szCs w:val="32"/>
          <w:lang w:val="en-US" w:eastAsia="zh-CN"/>
        </w:rPr>
        <w:t>（二）绩效目标和指标设定有待完善。</w:t>
      </w:r>
    </w:p>
    <w:p w14:paraId="6ACD99A5">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rPr>
      </w:pPr>
      <w:r>
        <w:rPr>
          <w:rFonts w:hint="eastAsia" w:ascii="Times New Roman" w:hAnsi="Times New Roman" w:eastAsia="仿宋_GB2312" w:cs="仿宋_GB2312"/>
          <w:snapToGrid/>
          <w:spacing w:val="0"/>
          <w:kern w:val="2"/>
          <w:sz w:val="32"/>
          <w:szCs w:val="32"/>
          <w:lang w:val="en-US" w:eastAsia="zh-CN"/>
        </w:rPr>
        <w:t>一是绩效目标设置简单，未能完整反映文旅局2023年的年度工作计划及应达到的效果。二是指标设置过于简单、不够完整且可衡量性差，未能将部门年度计划中的主要工作任务细化、量化为具体的绩效指标。</w:t>
      </w:r>
    </w:p>
    <w:p w14:paraId="5E35DD18">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（三）预算绩效管理薄弱</w:t>
      </w:r>
    </w:p>
    <w:p w14:paraId="4A9A6D2D">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本次绩效评价，西乡县文旅局提供的绩效自评与绩效监控资料填写较为简单，部分自评指标评分有误，绩效指标设置过程中，未能按照全过程绩效管理的要求，将填写指标任务明确给各股室，造成整体绩效目标设定脱离实际，导致后续监控无法将绩效目标分解对应至各部门的具体工作任务，给绩效监控、绩效考核工作带来困难。</w:t>
      </w:r>
    </w:p>
    <w:p w14:paraId="490F5914">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（四）预算执行进度缓慢</w:t>
      </w:r>
    </w:p>
    <w:p w14:paraId="1E55E650">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西乡县文旅局2023年度预算执行情况表中，预算指标生效数为30,591,505.89元，预算完成数为20,106,379.09元，预算完成率为65.73%。部分项目资金支付进度缓慢，严重影响预算执行进度。</w:t>
      </w:r>
    </w:p>
    <w:p w14:paraId="360A2868">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（五）财务会计力量薄弱</w:t>
      </w:r>
    </w:p>
    <w:p w14:paraId="4C25AB1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本次绩效评价，抽查了文旅局本级及部分下属单位的财务资料，发现部分单位提供的资产负债表编制不平衡，文旅局本级部分凭证账务处理有误。同时，部门财会人员非财会专业且无财务从业经验，处理账务难度较大，部门财务会计力量薄弱。</w:t>
      </w:r>
    </w:p>
    <w:p w14:paraId="02DB527C">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（六）资产管理不够完善</w:t>
      </w:r>
    </w:p>
    <w:p w14:paraId="3E1A7C63">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一是固定资产卡片账中固定资产原值合计与决算报表不一致。二是西乡县文旅局本级单位未能按照制度规定执行至少每年一次固定资产的盘点程序。</w:t>
      </w:r>
    </w:p>
    <w:p w14:paraId="305AAB1F">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（七）部分工作任务前期缺少谋划</w:t>
      </w:r>
    </w:p>
    <w:p w14:paraId="45C427EF">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本次绩效评价，西乡县文旅局工作任务中“完成西乡县文化创意产业园区项目建设，推进我县文化产业飞速发展”，经询问相关人员，该项目属于2018年谋划，后期缺少资金支持，项目实质处于搁置状态，2023年度也未对该项目进行推进。西乡县文旅局在进行部门工作任务计划时，未对工作任务前期进展情况、后</w:t>
      </w:r>
      <w:r>
        <w:rPr>
          <w:rFonts w:hint="eastAsia" w:ascii="Times New Roman" w:hAnsi="Times New Roman" w:eastAsia="仿宋_GB2312" w:cs="仿宋_GB2312"/>
          <w:snapToGrid/>
          <w:spacing w:val="0"/>
          <w:kern w:val="2"/>
          <w:sz w:val="32"/>
          <w:szCs w:val="32"/>
          <w:highlight w:val="none"/>
          <w:lang w:val="en-US" w:eastAsia="zh-CN"/>
        </w:rPr>
        <w:t>期发展资源及实现的</w:t>
      </w:r>
      <w:r>
        <w:rPr>
          <w:rFonts w:hint="eastAsia" w:ascii="Times New Roman" w:hAnsi="Times New Roman" w:eastAsia="仿宋_GB2312" w:cs="仿宋_GB2312"/>
          <w:snapToGrid/>
          <w:spacing w:val="0"/>
          <w:kern w:val="2"/>
          <w:sz w:val="32"/>
          <w:szCs w:val="32"/>
          <w:lang w:val="en-US" w:eastAsia="zh-CN"/>
        </w:rPr>
        <w:t>可能性等进行充分的调研和论证，缺少对年度任务的整体谋划。</w:t>
      </w:r>
    </w:p>
    <w:p w14:paraId="201BE566">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（八）部分工作任务未能按时完成</w:t>
      </w:r>
    </w:p>
    <w:p w14:paraId="21237DE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本次绩效评价，对西乡县文旅局2023年度工作计划进行了梳理，发现有部分工作任务未能按时完成，如：西乡县航空文化体验馆项目，合同约定2023年年底完工，截至绩效评价小组现场勘查时点，项目主体已完工，整体处于停工状态。午子书院项目，按计划2023年完成建设，但由于土地规划问题，截至绩效评价小组现场勘查时点，主体已完工，其余部分正在修建，未按时完成建设内容。</w:t>
      </w:r>
    </w:p>
    <w:p w14:paraId="076B193D">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黑体" w:hAnsi="黑体" w:eastAsia="黑体" w:cs="黑体"/>
          <w:snapToGrid/>
          <w:spacing w:val="0"/>
          <w:kern w:val="2"/>
          <w:sz w:val="32"/>
          <w:szCs w:val="32"/>
        </w:rPr>
      </w:pPr>
      <w:r>
        <w:rPr>
          <w:rFonts w:hint="eastAsia" w:ascii="黑体" w:hAnsi="黑体" w:eastAsia="黑体" w:cs="黑体"/>
          <w:snapToGrid/>
          <w:spacing w:val="0"/>
          <w:kern w:val="2"/>
          <w:sz w:val="32"/>
          <w:szCs w:val="32"/>
          <w:lang w:val="en-US" w:eastAsia="zh-CN"/>
        </w:rPr>
        <w:t>五、相关</w:t>
      </w:r>
      <w:r>
        <w:rPr>
          <w:rFonts w:hint="eastAsia" w:ascii="黑体" w:hAnsi="黑体" w:eastAsia="黑体" w:cs="黑体"/>
          <w:snapToGrid/>
          <w:spacing w:val="0"/>
          <w:kern w:val="2"/>
          <w:sz w:val="32"/>
          <w:szCs w:val="32"/>
        </w:rPr>
        <w:t>建议</w:t>
      </w:r>
    </w:p>
    <w:p w14:paraId="12E1913E">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rPr>
      </w:pPr>
      <w:r>
        <w:rPr>
          <w:rFonts w:hint="eastAsia" w:ascii="楷体_GB2312" w:hAnsi="楷体_GB2312" w:eastAsia="楷体_GB2312" w:cs="楷体_GB2312"/>
          <w:snapToGrid/>
          <w:spacing w:val="0"/>
          <w:kern w:val="2"/>
          <w:sz w:val="32"/>
          <w:szCs w:val="32"/>
          <w:lang w:eastAsia="zh-CN"/>
        </w:rPr>
        <w:t>（</w:t>
      </w:r>
      <w:r>
        <w:rPr>
          <w:rFonts w:hint="eastAsia" w:ascii="楷体_GB2312" w:hAnsi="楷体_GB2312" w:eastAsia="楷体_GB2312" w:cs="楷体_GB2312"/>
          <w:snapToGrid/>
          <w:spacing w:val="0"/>
          <w:kern w:val="2"/>
          <w:sz w:val="32"/>
          <w:szCs w:val="32"/>
          <w:lang w:val="en-US" w:eastAsia="zh-CN"/>
        </w:rPr>
        <w:t>一</w:t>
      </w:r>
      <w:r>
        <w:rPr>
          <w:rFonts w:hint="eastAsia" w:ascii="楷体_GB2312" w:hAnsi="楷体_GB2312" w:eastAsia="楷体_GB2312" w:cs="楷体_GB2312"/>
          <w:snapToGrid/>
          <w:spacing w:val="0"/>
          <w:kern w:val="2"/>
          <w:sz w:val="32"/>
          <w:szCs w:val="32"/>
          <w:lang w:eastAsia="zh-CN"/>
        </w:rPr>
        <w:t>）</w:t>
      </w:r>
      <w:r>
        <w:rPr>
          <w:rFonts w:hint="eastAsia" w:ascii="楷体_GB2312" w:hAnsi="楷体_GB2312" w:eastAsia="楷体_GB2312" w:cs="楷体_GB2312"/>
          <w:snapToGrid/>
          <w:spacing w:val="0"/>
          <w:kern w:val="2"/>
          <w:sz w:val="32"/>
          <w:szCs w:val="32"/>
          <w:lang w:val="en-US" w:eastAsia="zh-CN"/>
        </w:rPr>
        <w:t>完善全面预算管理制度，提高预算编制精准度</w:t>
      </w:r>
    </w:p>
    <w:p w14:paraId="7F1D7A5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一是完善制度体系，行政事业单位应该根据预算法规的相关内容，结合单位实际情况，制定完善的预算管理制度，对预算编制、预算执行、预算监督和绩效评价等流程进行完善。二是健全组织机构。三是加强队伍建设。四是在预算编制过程中，规范预算编制流程。</w:t>
      </w:r>
    </w:p>
    <w:p w14:paraId="5C6B7A3D">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eastAsia="zh-CN"/>
        </w:rPr>
        <w:t>（</w:t>
      </w:r>
      <w:r>
        <w:rPr>
          <w:rFonts w:hint="eastAsia" w:ascii="楷体_GB2312" w:hAnsi="楷体_GB2312" w:eastAsia="楷体_GB2312" w:cs="楷体_GB2312"/>
          <w:snapToGrid/>
          <w:spacing w:val="0"/>
          <w:kern w:val="2"/>
          <w:sz w:val="32"/>
          <w:szCs w:val="32"/>
          <w:lang w:val="en-US" w:eastAsia="zh-CN"/>
        </w:rPr>
        <w:t>二</w:t>
      </w:r>
      <w:r>
        <w:rPr>
          <w:rFonts w:hint="eastAsia" w:ascii="楷体_GB2312" w:hAnsi="楷体_GB2312" w:eastAsia="楷体_GB2312" w:cs="楷体_GB2312"/>
          <w:snapToGrid/>
          <w:spacing w:val="0"/>
          <w:kern w:val="2"/>
          <w:sz w:val="32"/>
          <w:szCs w:val="32"/>
          <w:lang w:eastAsia="zh-CN"/>
        </w:rPr>
        <w:t>）</w:t>
      </w:r>
      <w:r>
        <w:rPr>
          <w:rFonts w:hint="eastAsia" w:ascii="楷体_GB2312" w:hAnsi="楷体_GB2312" w:eastAsia="楷体_GB2312" w:cs="楷体_GB2312"/>
          <w:snapToGrid/>
          <w:spacing w:val="0"/>
          <w:kern w:val="2"/>
          <w:sz w:val="32"/>
          <w:szCs w:val="32"/>
          <w:lang w:val="en-US" w:eastAsia="zh-CN"/>
        </w:rPr>
        <w:t>加强</w:t>
      </w:r>
      <w:r>
        <w:rPr>
          <w:rFonts w:hint="eastAsia" w:ascii="楷体_GB2312" w:hAnsi="楷体_GB2312" w:eastAsia="楷体_GB2312" w:cs="楷体_GB2312"/>
          <w:snapToGrid/>
          <w:spacing w:val="0"/>
          <w:kern w:val="2"/>
          <w:sz w:val="32"/>
          <w:szCs w:val="32"/>
          <w:lang w:eastAsia="zh-CN"/>
        </w:rPr>
        <w:t>绩效管理</w:t>
      </w:r>
      <w:r>
        <w:rPr>
          <w:rFonts w:hint="eastAsia" w:ascii="楷体_GB2312" w:hAnsi="楷体_GB2312" w:eastAsia="楷体_GB2312" w:cs="楷体_GB2312"/>
          <w:snapToGrid/>
          <w:spacing w:val="0"/>
          <w:kern w:val="2"/>
          <w:sz w:val="32"/>
          <w:szCs w:val="32"/>
          <w:lang w:val="en-US" w:eastAsia="zh-CN"/>
        </w:rPr>
        <w:t>理念，完善全过程预算绩效管理机制</w:t>
      </w:r>
    </w:p>
    <w:p w14:paraId="53054049">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eastAsia="zh-CN"/>
        </w:rPr>
      </w:pPr>
      <w:r>
        <w:rPr>
          <w:rFonts w:hint="eastAsia" w:ascii="Times New Roman" w:hAnsi="Times New Roman" w:eastAsia="仿宋_GB2312" w:cs="仿宋_GB2312"/>
          <w:snapToGrid/>
          <w:spacing w:val="0"/>
          <w:kern w:val="2"/>
          <w:sz w:val="32"/>
          <w:szCs w:val="32"/>
          <w:lang w:val="en-US" w:eastAsia="zh-CN"/>
        </w:rPr>
        <w:t>一是对于</w:t>
      </w:r>
      <w:r>
        <w:rPr>
          <w:rFonts w:hint="eastAsia" w:ascii="Times New Roman" w:hAnsi="Times New Roman" w:eastAsia="仿宋_GB2312" w:cs="仿宋_GB2312"/>
          <w:snapToGrid/>
          <w:spacing w:val="0"/>
          <w:kern w:val="2"/>
          <w:sz w:val="32"/>
          <w:szCs w:val="32"/>
          <w:lang w:eastAsia="zh-CN"/>
        </w:rPr>
        <w:t>各部门各单位结合预算评审、项目审批等，开展事前绩效评估。</w:t>
      </w:r>
      <w:r>
        <w:rPr>
          <w:rFonts w:hint="eastAsia" w:ascii="Times New Roman" w:hAnsi="Times New Roman" w:eastAsia="仿宋_GB2312" w:cs="仿宋_GB2312"/>
          <w:snapToGrid/>
          <w:spacing w:val="0"/>
          <w:kern w:val="2"/>
          <w:sz w:val="32"/>
          <w:szCs w:val="32"/>
          <w:lang w:val="en-US" w:eastAsia="zh-CN"/>
        </w:rPr>
        <w:t>二是</w:t>
      </w:r>
      <w:r>
        <w:rPr>
          <w:rFonts w:hint="eastAsia" w:ascii="Times New Roman" w:hAnsi="Times New Roman" w:eastAsia="仿宋_GB2312" w:cs="仿宋_GB2312"/>
          <w:snapToGrid/>
          <w:spacing w:val="0"/>
          <w:kern w:val="2"/>
          <w:sz w:val="32"/>
          <w:szCs w:val="32"/>
          <w:lang w:eastAsia="zh-CN"/>
        </w:rPr>
        <w:t>强化绩效目标</w:t>
      </w:r>
      <w:r>
        <w:rPr>
          <w:rFonts w:hint="eastAsia" w:ascii="Times New Roman" w:hAnsi="Times New Roman" w:eastAsia="仿宋_GB2312" w:cs="仿宋_GB2312"/>
          <w:snapToGrid/>
          <w:spacing w:val="0"/>
          <w:kern w:val="2"/>
          <w:sz w:val="32"/>
          <w:szCs w:val="32"/>
          <w:lang w:val="en-US" w:eastAsia="zh-CN"/>
        </w:rPr>
        <w:t>管理，在</w:t>
      </w:r>
      <w:r>
        <w:rPr>
          <w:rFonts w:hint="eastAsia" w:ascii="Times New Roman" w:hAnsi="Times New Roman" w:eastAsia="仿宋_GB2312" w:cs="仿宋_GB2312"/>
          <w:snapToGrid/>
          <w:spacing w:val="0"/>
          <w:kern w:val="2"/>
          <w:sz w:val="32"/>
          <w:szCs w:val="32"/>
          <w:lang w:eastAsia="zh-CN"/>
        </w:rPr>
        <w:t>编制预算时要设置全面的绩效目标。</w:t>
      </w:r>
      <w:r>
        <w:rPr>
          <w:rFonts w:hint="eastAsia" w:ascii="Times New Roman" w:hAnsi="Times New Roman" w:eastAsia="仿宋_GB2312" w:cs="仿宋_GB2312"/>
          <w:snapToGrid/>
          <w:spacing w:val="0"/>
          <w:kern w:val="2"/>
          <w:sz w:val="32"/>
          <w:szCs w:val="32"/>
          <w:lang w:val="en-US" w:eastAsia="zh-CN"/>
        </w:rPr>
        <w:t>三是在预算实施过程中应对</w:t>
      </w:r>
      <w:r>
        <w:rPr>
          <w:rFonts w:hint="eastAsia" w:ascii="Times New Roman" w:hAnsi="Times New Roman" w:eastAsia="仿宋_GB2312" w:cs="仿宋_GB2312"/>
          <w:snapToGrid/>
          <w:spacing w:val="0"/>
          <w:kern w:val="2"/>
          <w:sz w:val="32"/>
          <w:szCs w:val="32"/>
        </w:rPr>
        <w:t>绩效目标实现程度和预算执行进度实行“双监控”</w:t>
      </w:r>
      <w:r>
        <w:rPr>
          <w:rFonts w:hint="eastAsia" w:ascii="Times New Roman" w:hAnsi="Times New Roman" w:eastAsia="仿宋_GB2312" w:cs="仿宋_GB2312"/>
          <w:snapToGrid/>
          <w:spacing w:val="0"/>
          <w:kern w:val="2"/>
          <w:sz w:val="32"/>
          <w:szCs w:val="32"/>
          <w:lang w:val="en-US" w:eastAsia="zh-CN"/>
        </w:rPr>
        <w:t>。四是规范开展绩效评价，</w:t>
      </w:r>
      <w:r>
        <w:rPr>
          <w:rFonts w:hint="eastAsia" w:ascii="Times New Roman" w:hAnsi="Times New Roman" w:eastAsia="仿宋_GB2312" w:cs="仿宋_GB2312"/>
          <w:snapToGrid/>
          <w:spacing w:val="0"/>
          <w:kern w:val="2"/>
          <w:sz w:val="32"/>
          <w:szCs w:val="32"/>
          <w:lang w:eastAsia="zh-CN"/>
        </w:rPr>
        <w:t>加强绩效评价结果应用，将绩效评价结果与预算安排和政策调整挂钩，对绩效不高的项目减少或取消预算安排，确保评价结果得到有效运用。</w:t>
      </w:r>
    </w:p>
    <w:p w14:paraId="66C1B783">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eastAsia="zh-CN"/>
        </w:rPr>
        <w:t>（</w:t>
      </w:r>
      <w:r>
        <w:rPr>
          <w:rFonts w:hint="eastAsia" w:ascii="楷体_GB2312" w:hAnsi="楷体_GB2312" w:eastAsia="楷体_GB2312" w:cs="楷体_GB2312"/>
          <w:snapToGrid/>
          <w:spacing w:val="0"/>
          <w:kern w:val="2"/>
          <w:sz w:val="32"/>
          <w:szCs w:val="32"/>
          <w:lang w:val="en-US" w:eastAsia="zh-CN"/>
        </w:rPr>
        <w:t>三</w:t>
      </w:r>
      <w:r>
        <w:rPr>
          <w:rFonts w:hint="eastAsia" w:ascii="楷体_GB2312" w:hAnsi="楷体_GB2312" w:eastAsia="楷体_GB2312" w:cs="楷体_GB2312"/>
          <w:snapToGrid/>
          <w:spacing w:val="0"/>
          <w:kern w:val="2"/>
          <w:sz w:val="32"/>
          <w:szCs w:val="32"/>
          <w:lang w:eastAsia="zh-CN"/>
        </w:rPr>
        <w:t>）</w:t>
      </w:r>
      <w:r>
        <w:rPr>
          <w:rFonts w:hint="eastAsia" w:ascii="楷体_GB2312" w:hAnsi="楷体_GB2312" w:eastAsia="楷体_GB2312" w:cs="楷体_GB2312"/>
          <w:snapToGrid/>
          <w:spacing w:val="0"/>
          <w:kern w:val="2"/>
          <w:sz w:val="32"/>
          <w:szCs w:val="32"/>
          <w:lang w:val="en-US" w:eastAsia="zh-CN"/>
        </w:rPr>
        <w:t>重视财务工作，规范会计基础工作规范</w:t>
      </w:r>
    </w:p>
    <w:p w14:paraId="5DBCC904">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default" w:ascii="Times New Roman" w:hAnsi="Times New Roman" w:eastAsia="仿宋_GB2312" w:cs="仿宋_GB2312"/>
          <w:snapToGrid/>
          <w:spacing w:val="0"/>
          <w:kern w:val="2"/>
          <w:sz w:val="32"/>
          <w:szCs w:val="32"/>
          <w:lang w:val="en-US" w:eastAsia="zh-CN"/>
        </w:rPr>
      </w:pPr>
      <w:r>
        <w:rPr>
          <w:rFonts w:hint="eastAsia" w:ascii="Times New Roman" w:hAnsi="Times New Roman" w:eastAsia="仿宋_GB2312" w:cs="仿宋_GB2312"/>
          <w:snapToGrid/>
          <w:spacing w:val="0"/>
          <w:kern w:val="2"/>
          <w:sz w:val="32"/>
          <w:szCs w:val="32"/>
          <w:lang w:val="en-US" w:eastAsia="zh-CN"/>
        </w:rPr>
        <w:t>一是</w:t>
      </w:r>
      <w:r>
        <w:rPr>
          <w:rFonts w:hint="default" w:ascii="Times New Roman" w:hAnsi="Times New Roman" w:eastAsia="仿宋_GB2312" w:cs="仿宋_GB2312"/>
          <w:snapToGrid/>
          <w:spacing w:val="0"/>
          <w:kern w:val="2"/>
          <w:sz w:val="32"/>
          <w:szCs w:val="32"/>
          <w:lang w:val="en-US" w:eastAsia="zh-CN"/>
        </w:rPr>
        <w:t>行政机关单位的领导要重视和支持财务工作。</w:t>
      </w:r>
      <w:r>
        <w:rPr>
          <w:rFonts w:hint="eastAsia" w:ascii="Times New Roman" w:hAnsi="Times New Roman" w:eastAsia="仿宋_GB2312" w:cs="仿宋_GB2312"/>
          <w:snapToGrid/>
          <w:spacing w:val="0"/>
          <w:kern w:val="2"/>
          <w:sz w:val="32"/>
          <w:szCs w:val="32"/>
          <w:lang w:val="en-US" w:eastAsia="zh-CN"/>
        </w:rPr>
        <w:t>二是建议定期</w:t>
      </w:r>
      <w:r>
        <w:rPr>
          <w:rFonts w:hint="default" w:ascii="Times New Roman" w:hAnsi="Times New Roman" w:eastAsia="仿宋_GB2312" w:cs="仿宋_GB2312"/>
          <w:snapToGrid/>
          <w:spacing w:val="0"/>
          <w:kern w:val="2"/>
          <w:sz w:val="32"/>
          <w:szCs w:val="32"/>
          <w:lang w:val="en-US" w:eastAsia="zh-CN"/>
        </w:rPr>
        <w:t>对</w:t>
      </w:r>
      <w:r>
        <w:rPr>
          <w:rFonts w:hint="eastAsia" w:ascii="Times New Roman" w:hAnsi="Times New Roman" w:eastAsia="仿宋_GB2312" w:cs="仿宋_GB2312"/>
          <w:snapToGrid/>
          <w:spacing w:val="0"/>
          <w:kern w:val="2"/>
          <w:sz w:val="32"/>
          <w:szCs w:val="32"/>
          <w:lang w:val="en-US" w:eastAsia="zh-CN"/>
        </w:rPr>
        <w:t>单位内</w:t>
      </w:r>
      <w:r>
        <w:rPr>
          <w:rFonts w:hint="default" w:ascii="Times New Roman" w:hAnsi="Times New Roman" w:eastAsia="仿宋_GB2312" w:cs="仿宋_GB2312"/>
          <w:snapToGrid/>
          <w:spacing w:val="0"/>
          <w:kern w:val="2"/>
          <w:sz w:val="32"/>
          <w:szCs w:val="32"/>
          <w:lang w:val="en-US" w:eastAsia="zh-CN"/>
        </w:rPr>
        <w:t>会计人员进行培训，特别是加强对会计业务核算</w:t>
      </w:r>
      <w:r>
        <w:rPr>
          <w:rFonts w:hint="eastAsia" w:ascii="Times New Roman" w:hAnsi="Times New Roman" w:cs="仿宋_GB2312"/>
          <w:snapToGrid/>
          <w:spacing w:val="0"/>
          <w:kern w:val="2"/>
          <w:sz w:val="32"/>
          <w:szCs w:val="32"/>
          <w:lang w:val="en-US" w:eastAsia="zh-CN"/>
        </w:rPr>
        <w:t>、</w:t>
      </w:r>
      <w:r>
        <w:rPr>
          <w:rFonts w:hint="eastAsia" w:ascii="Times New Roman" w:hAnsi="Times New Roman" w:eastAsia="仿宋_GB2312" w:cs="仿宋_GB2312"/>
          <w:snapToGrid/>
          <w:spacing w:val="0"/>
          <w:kern w:val="2"/>
          <w:sz w:val="32"/>
          <w:szCs w:val="32"/>
          <w:lang w:val="en-US" w:eastAsia="zh-CN"/>
        </w:rPr>
        <w:t>预算一体化管理</w:t>
      </w:r>
      <w:r>
        <w:rPr>
          <w:rFonts w:hint="default" w:ascii="Times New Roman" w:hAnsi="Times New Roman" w:eastAsia="仿宋_GB2312" w:cs="仿宋_GB2312"/>
          <w:snapToGrid/>
          <w:spacing w:val="0"/>
          <w:kern w:val="2"/>
          <w:sz w:val="32"/>
          <w:szCs w:val="32"/>
          <w:lang w:val="en-US" w:eastAsia="zh-CN"/>
        </w:rPr>
        <w:t>和相关财经法规的培训，使财会人员对财会知识更加熟悉，素质得到进一步提高</w:t>
      </w:r>
      <w:r>
        <w:rPr>
          <w:rFonts w:hint="eastAsia" w:ascii="Times New Roman" w:hAnsi="Times New Roman" w:eastAsia="仿宋_GB2312" w:cs="仿宋_GB2312"/>
          <w:snapToGrid/>
          <w:spacing w:val="0"/>
          <w:kern w:val="2"/>
          <w:sz w:val="32"/>
          <w:szCs w:val="32"/>
          <w:lang w:val="en-US" w:eastAsia="zh-CN"/>
        </w:rPr>
        <w:t>。三是财务人员在日常工作中，要</w:t>
      </w:r>
      <w:r>
        <w:rPr>
          <w:rFonts w:hint="default" w:ascii="Times New Roman" w:hAnsi="Times New Roman" w:eastAsia="仿宋_GB2312" w:cs="仿宋_GB2312"/>
          <w:snapToGrid/>
          <w:spacing w:val="0"/>
          <w:kern w:val="2"/>
          <w:sz w:val="32"/>
          <w:szCs w:val="32"/>
          <w:lang w:val="en-US" w:eastAsia="zh-CN"/>
        </w:rPr>
        <w:t>严格</w:t>
      </w:r>
      <w:r>
        <w:rPr>
          <w:rFonts w:hint="eastAsia" w:ascii="Times New Roman" w:hAnsi="Times New Roman" w:eastAsia="仿宋_GB2312" w:cs="仿宋_GB2312"/>
          <w:snapToGrid/>
          <w:spacing w:val="0"/>
          <w:kern w:val="2"/>
          <w:sz w:val="32"/>
          <w:szCs w:val="32"/>
          <w:lang w:val="en-US" w:eastAsia="zh-CN"/>
        </w:rPr>
        <w:t>遵守相关</w:t>
      </w:r>
      <w:r>
        <w:rPr>
          <w:rFonts w:hint="default" w:ascii="Times New Roman" w:hAnsi="Times New Roman" w:eastAsia="仿宋_GB2312" w:cs="仿宋_GB2312"/>
          <w:snapToGrid/>
          <w:spacing w:val="0"/>
          <w:kern w:val="2"/>
          <w:sz w:val="32"/>
          <w:szCs w:val="32"/>
          <w:lang w:val="en-US" w:eastAsia="zh-CN"/>
        </w:rPr>
        <w:t>法规政策、中省市各类专项资金管理办法等规范性文件和</w:t>
      </w:r>
      <w:r>
        <w:rPr>
          <w:rFonts w:hint="eastAsia" w:ascii="Times New Roman" w:hAnsi="Times New Roman" w:eastAsia="仿宋_GB2312" w:cs="仿宋_GB2312"/>
          <w:snapToGrid/>
          <w:spacing w:val="0"/>
          <w:kern w:val="2"/>
          <w:sz w:val="32"/>
          <w:szCs w:val="32"/>
          <w:lang w:val="en-US" w:eastAsia="zh"/>
        </w:rPr>
        <w:t>政府</w:t>
      </w:r>
      <w:r>
        <w:rPr>
          <w:rFonts w:hint="default" w:ascii="Times New Roman" w:hAnsi="Times New Roman" w:eastAsia="仿宋_GB2312" w:cs="仿宋_GB2312"/>
          <w:snapToGrid/>
          <w:spacing w:val="0"/>
          <w:kern w:val="2"/>
          <w:sz w:val="32"/>
          <w:szCs w:val="32"/>
          <w:lang w:val="en-US" w:eastAsia="zh-CN"/>
        </w:rPr>
        <w:t>会计准则及其应用指南的要求，杜绝</w:t>
      </w:r>
      <w:r>
        <w:rPr>
          <w:rFonts w:hint="eastAsia" w:ascii="Times New Roman" w:hAnsi="Times New Roman" w:eastAsia="仿宋_GB2312" w:cs="仿宋_GB2312"/>
          <w:snapToGrid/>
          <w:spacing w:val="0"/>
          <w:kern w:val="2"/>
          <w:sz w:val="32"/>
          <w:szCs w:val="32"/>
          <w:lang w:val="en-US" w:eastAsia="zh-CN"/>
        </w:rPr>
        <w:t>账务处理不正确</w:t>
      </w:r>
      <w:r>
        <w:rPr>
          <w:rFonts w:hint="default" w:ascii="Times New Roman" w:hAnsi="Times New Roman" w:eastAsia="仿宋_GB2312" w:cs="仿宋_GB2312"/>
          <w:snapToGrid/>
          <w:spacing w:val="0"/>
          <w:kern w:val="2"/>
          <w:sz w:val="32"/>
          <w:szCs w:val="32"/>
          <w:lang w:val="en-US" w:eastAsia="zh-CN"/>
        </w:rPr>
        <w:t>、记账凭证附件不全或编制不规范等问题，规范会计核算管理，使</w:t>
      </w:r>
      <w:r>
        <w:rPr>
          <w:rFonts w:hint="eastAsia" w:ascii="Times New Roman" w:hAnsi="Times New Roman" w:eastAsia="仿宋_GB2312" w:cs="仿宋_GB2312"/>
          <w:snapToGrid/>
          <w:spacing w:val="0"/>
          <w:kern w:val="2"/>
          <w:sz w:val="32"/>
          <w:szCs w:val="32"/>
          <w:lang w:val="en-US" w:eastAsia="zh-CN"/>
        </w:rPr>
        <w:t>财务人员能够及时、</w:t>
      </w:r>
      <w:r>
        <w:rPr>
          <w:rFonts w:hint="default" w:ascii="Times New Roman" w:hAnsi="Times New Roman" w:eastAsia="仿宋_GB2312" w:cs="仿宋_GB2312"/>
          <w:snapToGrid/>
          <w:spacing w:val="0"/>
          <w:kern w:val="2"/>
          <w:sz w:val="32"/>
          <w:szCs w:val="32"/>
          <w:lang w:val="en-US" w:eastAsia="zh-CN"/>
        </w:rPr>
        <w:t>完整、准确地</w:t>
      </w:r>
      <w:r>
        <w:rPr>
          <w:rFonts w:hint="eastAsia" w:ascii="Times New Roman" w:hAnsi="Times New Roman" w:eastAsia="仿宋_GB2312" w:cs="仿宋_GB2312"/>
          <w:snapToGrid/>
          <w:spacing w:val="0"/>
          <w:kern w:val="2"/>
          <w:sz w:val="32"/>
          <w:szCs w:val="32"/>
          <w:lang w:val="en-US" w:eastAsia="zh"/>
        </w:rPr>
        <w:t>记录各单位</w:t>
      </w:r>
      <w:r>
        <w:rPr>
          <w:rFonts w:hint="default" w:ascii="Times New Roman" w:hAnsi="Times New Roman" w:eastAsia="仿宋_GB2312" w:cs="仿宋_GB2312"/>
          <w:snapToGrid/>
          <w:spacing w:val="0"/>
          <w:kern w:val="2"/>
          <w:sz w:val="32"/>
          <w:szCs w:val="32"/>
          <w:lang w:val="en-US" w:eastAsia="zh-CN"/>
        </w:rPr>
        <w:t>发生的各项经济活动</w:t>
      </w:r>
      <w:r>
        <w:rPr>
          <w:rFonts w:hint="eastAsia" w:ascii="Times New Roman" w:hAnsi="Times New Roman" w:eastAsia="仿宋_GB2312" w:cs="仿宋_GB2312"/>
          <w:snapToGrid/>
          <w:spacing w:val="0"/>
          <w:kern w:val="2"/>
          <w:sz w:val="32"/>
          <w:szCs w:val="32"/>
          <w:lang w:eastAsia="zh-CN"/>
        </w:rPr>
        <w:t>，</w:t>
      </w:r>
      <w:r>
        <w:rPr>
          <w:rFonts w:hint="eastAsia" w:ascii="Times New Roman" w:hAnsi="Times New Roman" w:eastAsia="仿宋_GB2312" w:cs="仿宋_GB2312"/>
          <w:snapToGrid/>
          <w:spacing w:val="0"/>
          <w:kern w:val="2"/>
          <w:sz w:val="32"/>
          <w:szCs w:val="32"/>
          <w:lang w:val="en-US" w:eastAsia="zh-CN"/>
        </w:rPr>
        <w:t>确保财务信息的及时性和准确性</w:t>
      </w:r>
      <w:r>
        <w:rPr>
          <w:rFonts w:hint="default" w:ascii="Times New Roman" w:hAnsi="Times New Roman" w:eastAsia="仿宋_GB2312" w:cs="仿宋_GB2312"/>
          <w:snapToGrid/>
          <w:spacing w:val="0"/>
          <w:kern w:val="2"/>
          <w:sz w:val="32"/>
          <w:szCs w:val="32"/>
          <w:lang w:val="en-US" w:eastAsia="zh-CN"/>
        </w:rPr>
        <w:t>。</w:t>
      </w:r>
    </w:p>
    <w:p w14:paraId="245117A4">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（四）加强国有资产管理</w:t>
      </w:r>
    </w:p>
    <w:p w14:paraId="7B716A01">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
        </w:rPr>
      </w:pPr>
      <w:r>
        <w:rPr>
          <w:rFonts w:hint="default" w:ascii="Times New Roman" w:hAnsi="Times New Roman" w:eastAsia="仿宋_GB2312" w:cs="仿宋_GB2312"/>
          <w:snapToGrid/>
          <w:spacing w:val="0"/>
          <w:kern w:val="2"/>
          <w:sz w:val="32"/>
          <w:szCs w:val="32"/>
          <w:lang w:val="en-US" w:eastAsia="zh-CN"/>
        </w:rPr>
        <w:t>建议</w:t>
      </w:r>
      <w:r>
        <w:rPr>
          <w:rFonts w:hint="eastAsia" w:ascii="Times New Roman" w:hAnsi="Times New Roman" w:eastAsia="仿宋_GB2312" w:cs="仿宋_GB2312"/>
          <w:snapToGrid/>
          <w:spacing w:val="0"/>
          <w:kern w:val="2"/>
          <w:sz w:val="32"/>
          <w:szCs w:val="32"/>
          <w:lang w:val="en-US" w:eastAsia="zh"/>
        </w:rPr>
        <w:t>严格按照</w:t>
      </w:r>
      <w:r>
        <w:rPr>
          <w:rFonts w:hint="default" w:ascii="Times New Roman" w:hAnsi="Times New Roman" w:eastAsia="仿宋_GB2312" w:cs="仿宋_GB2312"/>
          <w:snapToGrid/>
          <w:spacing w:val="0"/>
          <w:kern w:val="2"/>
          <w:sz w:val="32"/>
          <w:szCs w:val="32"/>
          <w:lang w:val="en-US" w:eastAsia="zh-CN"/>
        </w:rPr>
        <w:t>相关规定，</w:t>
      </w:r>
      <w:r>
        <w:rPr>
          <w:rFonts w:hint="eastAsia" w:ascii="Times New Roman" w:hAnsi="Times New Roman" w:eastAsia="仿宋_GB2312" w:cs="仿宋_GB2312"/>
          <w:snapToGrid/>
          <w:spacing w:val="0"/>
          <w:kern w:val="2"/>
          <w:sz w:val="32"/>
          <w:szCs w:val="32"/>
          <w:lang w:val="en-US" w:eastAsia="zh"/>
        </w:rPr>
        <w:t>强化</w:t>
      </w:r>
      <w:r>
        <w:rPr>
          <w:rFonts w:hint="default" w:ascii="Times New Roman" w:hAnsi="Times New Roman" w:eastAsia="仿宋_GB2312" w:cs="仿宋_GB2312"/>
          <w:snapToGrid/>
          <w:spacing w:val="0"/>
          <w:kern w:val="2"/>
          <w:sz w:val="32"/>
          <w:szCs w:val="32"/>
          <w:lang w:val="en-US" w:eastAsia="zh-CN"/>
        </w:rPr>
        <w:t>国有资产管理工作。</w:t>
      </w:r>
      <w:r>
        <w:rPr>
          <w:rFonts w:hint="eastAsia" w:ascii="Times New Roman" w:hAnsi="Times New Roman" w:eastAsia="仿宋_GB2312" w:cs="仿宋_GB2312"/>
          <w:snapToGrid/>
          <w:spacing w:val="0"/>
          <w:kern w:val="2"/>
          <w:sz w:val="32"/>
          <w:szCs w:val="32"/>
          <w:lang w:val="en-US" w:eastAsia="zh-CN"/>
        </w:rPr>
        <w:t>定期</w:t>
      </w:r>
      <w:r>
        <w:rPr>
          <w:rFonts w:hint="eastAsia" w:ascii="Times New Roman" w:hAnsi="Times New Roman" w:eastAsia="仿宋_GB2312" w:cs="仿宋_GB2312"/>
          <w:snapToGrid/>
          <w:spacing w:val="0"/>
          <w:kern w:val="2"/>
          <w:sz w:val="32"/>
          <w:szCs w:val="32"/>
          <w:lang w:val="en-US" w:eastAsia="zh"/>
        </w:rPr>
        <w:t>组织相关人员对本单位固定资产进行</w:t>
      </w:r>
      <w:r>
        <w:rPr>
          <w:rFonts w:hint="eastAsia" w:ascii="Times New Roman" w:hAnsi="Times New Roman" w:eastAsia="仿宋_GB2312" w:cs="仿宋_GB2312"/>
          <w:snapToGrid/>
          <w:spacing w:val="0"/>
          <w:kern w:val="2"/>
          <w:sz w:val="32"/>
          <w:szCs w:val="32"/>
          <w:lang w:val="en-US" w:eastAsia="zh-CN"/>
        </w:rPr>
        <w:t>盘点、</w:t>
      </w:r>
      <w:r>
        <w:rPr>
          <w:rFonts w:hint="eastAsia" w:ascii="Times New Roman" w:hAnsi="Times New Roman" w:eastAsia="仿宋_GB2312" w:cs="仿宋_GB2312"/>
          <w:snapToGrid/>
          <w:spacing w:val="0"/>
          <w:kern w:val="2"/>
          <w:sz w:val="32"/>
          <w:szCs w:val="32"/>
          <w:lang w:val="en-US" w:eastAsia="zh"/>
        </w:rPr>
        <w:t>清查、核对，推进固定资产管理制度的执行效果</w:t>
      </w:r>
      <w:r>
        <w:rPr>
          <w:rFonts w:hint="eastAsia" w:ascii="Times New Roman" w:hAnsi="Times New Roman" w:eastAsia="仿宋_GB2312" w:cs="仿宋_GB2312"/>
          <w:snapToGrid/>
          <w:spacing w:val="0"/>
          <w:kern w:val="2"/>
          <w:sz w:val="32"/>
          <w:szCs w:val="32"/>
          <w:lang w:val="en-US" w:eastAsia="zh-CN"/>
        </w:rPr>
        <w:t>，</w:t>
      </w:r>
      <w:r>
        <w:rPr>
          <w:rFonts w:hint="eastAsia" w:ascii="Times New Roman" w:hAnsi="Times New Roman" w:eastAsia="仿宋_GB2312" w:cs="仿宋_GB2312"/>
          <w:snapToGrid/>
          <w:spacing w:val="0"/>
          <w:kern w:val="2"/>
          <w:sz w:val="32"/>
          <w:szCs w:val="32"/>
          <w:lang w:val="en-US" w:eastAsia="zh"/>
        </w:rPr>
        <w:t>确保做到国有资产账账、账表和账实相符。落实资产管理责任制和年度报告制度，通过日常管理与专项检查、全面监督与重点检查相结合的方式，实现对国有资产常态长效监管。</w:t>
      </w:r>
    </w:p>
    <w:p w14:paraId="126872E9">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楷体_GB2312" w:hAnsi="楷体_GB2312" w:eastAsia="楷体_GB2312" w:cs="楷体_GB2312"/>
          <w:snapToGrid/>
          <w:spacing w:val="0"/>
          <w:kern w:val="2"/>
          <w:sz w:val="32"/>
          <w:szCs w:val="32"/>
          <w:lang w:val="en-US" w:eastAsia="zh-CN"/>
        </w:rPr>
      </w:pPr>
      <w:r>
        <w:rPr>
          <w:rFonts w:hint="eastAsia" w:ascii="楷体_GB2312" w:hAnsi="楷体_GB2312" w:eastAsia="楷体_GB2312" w:cs="楷体_GB2312"/>
          <w:snapToGrid/>
          <w:spacing w:val="0"/>
          <w:kern w:val="2"/>
          <w:sz w:val="32"/>
          <w:szCs w:val="32"/>
          <w:lang w:val="en-US" w:eastAsia="zh-CN"/>
        </w:rPr>
        <w:t>（五）加强项目前期谋划，实时跟踪项目开展情况</w:t>
      </w:r>
    </w:p>
    <w:p w14:paraId="20ED54D5">
      <w:pPr>
        <w:keepNext w:val="0"/>
        <w:keepLines w:val="0"/>
        <w:pageBreakBefore w:val="0"/>
        <w:widowControl w:val="0"/>
        <w:kinsoku/>
        <w:wordWrap/>
        <w:overflowPunct/>
        <w:topLinePunct w:val="0"/>
        <w:autoSpaceDE/>
        <w:autoSpaceDN/>
        <w:bidi w:val="0"/>
        <w:adjustRightInd/>
        <w:snapToGrid/>
        <w:spacing w:before="0" w:after="0" w:line="578" w:lineRule="exact"/>
        <w:ind w:left="0" w:leftChars="0" w:firstLine="640" w:firstLineChars="0"/>
        <w:textAlignment w:val="auto"/>
        <w:rPr>
          <w:rFonts w:hint="eastAsia" w:ascii="Times New Roman" w:hAnsi="Times New Roman" w:eastAsia="仿宋_GB2312" w:cs="仿宋_GB2312"/>
          <w:snapToGrid/>
          <w:spacing w:val="0"/>
          <w:kern w:val="2"/>
          <w:sz w:val="32"/>
          <w:szCs w:val="32"/>
          <w:lang w:val="en-US" w:eastAsia="zh"/>
        </w:rPr>
      </w:pPr>
      <w:r>
        <w:rPr>
          <w:rFonts w:hint="eastAsia" w:ascii="Times New Roman" w:hAnsi="Times New Roman" w:eastAsia="仿宋_GB2312" w:cs="仿宋_GB2312"/>
          <w:snapToGrid/>
          <w:spacing w:val="0"/>
          <w:kern w:val="2"/>
          <w:sz w:val="32"/>
          <w:szCs w:val="32"/>
          <w:lang w:val="en-US" w:eastAsia="zh"/>
        </w:rPr>
        <w:t>项目前期工作是项目推进的基础、保障和关键，是项目基本建设的重要环节。</w:t>
      </w:r>
      <w:r>
        <w:rPr>
          <w:rFonts w:hint="eastAsia" w:ascii="Times New Roman" w:hAnsi="Times New Roman" w:eastAsia="仿宋_GB2312" w:cs="仿宋_GB2312"/>
          <w:snapToGrid/>
          <w:spacing w:val="0"/>
          <w:kern w:val="2"/>
          <w:sz w:val="32"/>
          <w:szCs w:val="32"/>
          <w:lang w:val="en-US" w:eastAsia="zh-CN"/>
        </w:rPr>
        <w:t>西乡县文旅局应</w:t>
      </w:r>
      <w:r>
        <w:rPr>
          <w:rFonts w:hint="eastAsia" w:ascii="Times New Roman" w:hAnsi="Times New Roman" w:eastAsia="仿宋_GB2312" w:cs="仿宋_GB2312"/>
          <w:snapToGrid/>
          <w:spacing w:val="0"/>
          <w:kern w:val="2"/>
          <w:sz w:val="32"/>
          <w:szCs w:val="32"/>
          <w:lang w:val="en-US" w:eastAsia="zh"/>
        </w:rPr>
        <w:t>重视项目前期准备工作的重要性，树立前期决策工作质量好坏直接影响项目投资效益的观念，要精细谋划、科学决策，结合</w:t>
      </w:r>
      <w:r>
        <w:rPr>
          <w:rFonts w:hint="eastAsia" w:ascii="Times New Roman" w:hAnsi="Times New Roman" w:eastAsia="仿宋_GB2312" w:cs="仿宋_GB2312"/>
          <w:snapToGrid/>
          <w:spacing w:val="0"/>
          <w:kern w:val="2"/>
          <w:sz w:val="32"/>
          <w:szCs w:val="32"/>
          <w:lang w:val="en-US" w:eastAsia="zh-CN"/>
        </w:rPr>
        <w:t>部门职责与年度工作任务</w:t>
      </w:r>
      <w:r>
        <w:rPr>
          <w:rFonts w:hint="eastAsia" w:ascii="Times New Roman" w:hAnsi="Times New Roman" w:eastAsia="仿宋_GB2312" w:cs="仿宋_GB2312"/>
          <w:snapToGrid/>
          <w:spacing w:val="0"/>
          <w:kern w:val="2"/>
          <w:sz w:val="32"/>
          <w:szCs w:val="32"/>
          <w:lang w:val="en-US" w:eastAsia="zh"/>
        </w:rPr>
        <w:t>，合理确定</w:t>
      </w:r>
      <w:r>
        <w:rPr>
          <w:rFonts w:hint="eastAsia" w:ascii="Times New Roman" w:hAnsi="Times New Roman" w:eastAsia="仿宋_GB2312" w:cs="仿宋_GB2312"/>
          <w:snapToGrid/>
          <w:spacing w:val="0"/>
          <w:kern w:val="2"/>
          <w:sz w:val="32"/>
          <w:szCs w:val="32"/>
          <w:lang w:val="en-US" w:eastAsia="zh-CN"/>
        </w:rPr>
        <w:t>本年项目数量和内容</w:t>
      </w:r>
      <w:r>
        <w:rPr>
          <w:rFonts w:hint="eastAsia" w:ascii="Times New Roman" w:hAnsi="Times New Roman" w:eastAsia="仿宋_GB2312" w:cs="仿宋_GB2312"/>
          <w:snapToGrid/>
          <w:spacing w:val="0"/>
          <w:kern w:val="2"/>
          <w:sz w:val="32"/>
          <w:szCs w:val="32"/>
          <w:lang w:val="en-US" w:eastAsia="zh"/>
        </w:rPr>
        <w:t>，</w:t>
      </w:r>
      <w:r>
        <w:rPr>
          <w:rFonts w:hint="eastAsia" w:ascii="Times New Roman" w:hAnsi="Times New Roman" w:eastAsia="仿宋_GB2312" w:cs="仿宋_GB2312"/>
          <w:snapToGrid/>
          <w:spacing w:val="0"/>
          <w:kern w:val="2"/>
          <w:sz w:val="32"/>
          <w:szCs w:val="32"/>
          <w:lang w:val="en-US" w:eastAsia="zh-CN"/>
        </w:rPr>
        <w:t>必要时，聘请专家对项目</w:t>
      </w:r>
      <w:r>
        <w:rPr>
          <w:rFonts w:hint="eastAsia" w:ascii="Times New Roman" w:hAnsi="Times New Roman" w:eastAsia="仿宋_GB2312" w:cs="仿宋_GB2312"/>
          <w:snapToGrid/>
          <w:spacing w:val="0"/>
          <w:kern w:val="2"/>
          <w:sz w:val="32"/>
          <w:szCs w:val="32"/>
          <w:lang w:val="en-US" w:eastAsia="zh"/>
        </w:rPr>
        <w:t>建设规模、功能定位</w:t>
      </w:r>
      <w:r>
        <w:rPr>
          <w:rFonts w:hint="eastAsia" w:ascii="Times New Roman" w:hAnsi="Times New Roman" w:eastAsia="仿宋_GB2312" w:cs="仿宋_GB2312"/>
          <w:snapToGrid/>
          <w:spacing w:val="0"/>
          <w:kern w:val="2"/>
          <w:sz w:val="32"/>
          <w:szCs w:val="32"/>
          <w:lang w:val="en-US" w:eastAsia="zh-CN"/>
        </w:rPr>
        <w:t>以及</w:t>
      </w:r>
      <w:r>
        <w:rPr>
          <w:rFonts w:hint="eastAsia" w:ascii="Times New Roman" w:hAnsi="Times New Roman" w:eastAsia="仿宋_GB2312" w:cs="仿宋_GB2312"/>
          <w:snapToGrid/>
          <w:spacing w:val="0"/>
          <w:kern w:val="2"/>
          <w:sz w:val="32"/>
          <w:szCs w:val="32"/>
          <w:lang w:val="en-US" w:eastAsia="zh"/>
        </w:rPr>
        <w:t>资金来源等各方面</w:t>
      </w:r>
      <w:r>
        <w:rPr>
          <w:rFonts w:hint="eastAsia" w:ascii="Times New Roman" w:hAnsi="Times New Roman" w:eastAsia="仿宋_GB2312" w:cs="仿宋_GB2312"/>
          <w:snapToGrid/>
          <w:spacing w:val="0"/>
          <w:kern w:val="2"/>
          <w:sz w:val="32"/>
          <w:szCs w:val="32"/>
          <w:lang w:val="en-US" w:eastAsia="zh-CN"/>
        </w:rPr>
        <w:t>内容进行可行性论证，</w:t>
      </w:r>
      <w:r>
        <w:rPr>
          <w:rFonts w:hint="eastAsia" w:ascii="Times New Roman" w:hAnsi="Times New Roman" w:eastAsia="仿宋_GB2312" w:cs="仿宋_GB2312"/>
          <w:snapToGrid/>
          <w:spacing w:val="0"/>
          <w:kern w:val="2"/>
          <w:sz w:val="32"/>
          <w:szCs w:val="32"/>
          <w:lang w:val="en-US" w:eastAsia="zh"/>
        </w:rPr>
        <w:t>保证</w:t>
      </w:r>
      <w:r>
        <w:rPr>
          <w:rFonts w:hint="eastAsia" w:ascii="Times New Roman" w:hAnsi="Times New Roman" w:eastAsia="仿宋_GB2312" w:cs="仿宋_GB2312"/>
          <w:snapToGrid/>
          <w:spacing w:val="0"/>
          <w:kern w:val="2"/>
          <w:sz w:val="32"/>
          <w:szCs w:val="32"/>
          <w:lang w:val="en-US" w:eastAsia="zh-CN"/>
        </w:rPr>
        <w:t>实施</w:t>
      </w:r>
      <w:r>
        <w:rPr>
          <w:rFonts w:hint="eastAsia" w:ascii="Times New Roman" w:hAnsi="Times New Roman" w:eastAsia="仿宋_GB2312" w:cs="仿宋_GB2312"/>
          <w:snapToGrid/>
          <w:spacing w:val="0"/>
          <w:kern w:val="2"/>
          <w:sz w:val="32"/>
          <w:szCs w:val="32"/>
          <w:lang w:val="en-US" w:eastAsia="zh"/>
        </w:rPr>
        <w:t>项目决策的经济性、合理性与可行性。</w:t>
      </w:r>
      <w:r>
        <w:rPr>
          <w:rFonts w:hint="eastAsia" w:ascii="Times New Roman" w:hAnsi="Times New Roman" w:eastAsia="仿宋_GB2312" w:cs="仿宋_GB2312"/>
          <w:snapToGrid/>
          <w:spacing w:val="0"/>
          <w:kern w:val="2"/>
          <w:sz w:val="32"/>
          <w:szCs w:val="32"/>
          <w:lang w:val="en-US" w:eastAsia="zh-CN"/>
        </w:rPr>
        <w:t>对已经确定不实施的项目应在工作任务计划中予以剔除，如：西乡县文化创意产业园区项目。同时，在项目实施过程中，西乡县文旅局</w:t>
      </w:r>
      <w:r>
        <w:rPr>
          <w:rFonts w:hint="eastAsia" w:ascii="Times New Roman" w:hAnsi="Times New Roman" w:eastAsia="仿宋_GB2312" w:cs="仿宋_GB2312"/>
          <w:snapToGrid/>
          <w:spacing w:val="0"/>
          <w:kern w:val="2"/>
          <w:sz w:val="32"/>
          <w:szCs w:val="32"/>
          <w:lang w:val="en-US" w:eastAsia="zh"/>
        </w:rPr>
        <w:t>要强化日常监管，在确保工程质量和安全的前提下</w:t>
      </w:r>
      <w:r>
        <w:rPr>
          <w:rFonts w:hint="eastAsia" w:ascii="Times New Roman" w:hAnsi="Times New Roman" w:eastAsia="仿宋_GB2312" w:cs="仿宋_GB2312"/>
          <w:snapToGrid/>
          <w:spacing w:val="0"/>
          <w:kern w:val="2"/>
          <w:sz w:val="32"/>
          <w:szCs w:val="32"/>
          <w:lang w:val="en-US" w:eastAsia="zh-CN"/>
        </w:rPr>
        <w:t>督促</w:t>
      </w:r>
      <w:r>
        <w:rPr>
          <w:rFonts w:hint="eastAsia" w:ascii="Times New Roman" w:hAnsi="Times New Roman" w:eastAsia="仿宋_GB2312" w:cs="仿宋_GB2312"/>
          <w:snapToGrid/>
          <w:spacing w:val="0"/>
          <w:kern w:val="2"/>
          <w:sz w:val="32"/>
          <w:szCs w:val="32"/>
          <w:lang w:val="en-US" w:eastAsia="zh"/>
        </w:rPr>
        <w:t>工程进度，尽快实现</w:t>
      </w:r>
      <w:r>
        <w:rPr>
          <w:rFonts w:hint="eastAsia" w:ascii="Times New Roman" w:hAnsi="Times New Roman" w:eastAsia="仿宋_GB2312" w:cs="仿宋_GB2312"/>
          <w:snapToGrid/>
          <w:spacing w:val="0"/>
          <w:kern w:val="2"/>
          <w:sz w:val="32"/>
          <w:szCs w:val="32"/>
          <w:highlight w:val="none"/>
          <w:lang w:val="en-US" w:eastAsia="zh"/>
        </w:rPr>
        <w:t>实物量</w:t>
      </w:r>
      <w:r>
        <w:rPr>
          <w:rFonts w:hint="eastAsia" w:ascii="Times New Roman" w:hAnsi="Times New Roman" w:eastAsia="仿宋_GB2312" w:cs="仿宋_GB2312"/>
          <w:snapToGrid/>
          <w:spacing w:val="0"/>
          <w:kern w:val="2"/>
          <w:sz w:val="32"/>
          <w:szCs w:val="32"/>
          <w:lang w:val="en-US" w:eastAsia="zh-CN"/>
        </w:rPr>
        <w:t>。对于实施过程中发现的相关问题，及时督促要求整改</w:t>
      </w:r>
      <w:r>
        <w:rPr>
          <w:rFonts w:hint="eastAsia" w:ascii="Times New Roman" w:hAnsi="Times New Roman" w:eastAsia="仿宋_GB2312" w:cs="仿宋_GB2312"/>
          <w:snapToGrid/>
          <w:spacing w:val="0"/>
          <w:kern w:val="2"/>
          <w:sz w:val="32"/>
          <w:szCs w:val="32"/>
          <w:lang w:val="en-US" w:eastAsia="zh"/>
        </w:rPr>
        <w:t>，必要时采取收回资金以及追责问责的方式，确保项目有序推进，早日形成经济效益和社会效益。</w:t>
      </w:r>
    </w:p>
    <w:p w14:paraId="5C2FCEB8">
      <w:pPr>
        <w:pStyle w:val="10"/>
        <w:rPr>
          <w:rFonts w:hint="eastAsia" w:ascii="Times New Roman" w:hAnsi="Times New Roman" w:eastAsia="仿宋_GB2312" w:cs="仿宋_GB2312"/>
          <w:snapToGrid/>
          <w:spacing w:val="0"/>
          <w:kern w:val="2"/>
          <w:sz w:val="32"/>
          <w:szCs w:val="32"/>
          <w:lang w:val="en-US" w:eastAsia="zh"/>
        </w:rPr>
      </w:pPr>
    </w:p>
    <w:p w14:paraId="567A4AB6">
      <w:pPr>
        <w:pStyle w:val="10"/>
        <w:rPr>
          <w:rFonts w:hint="eastAsia" w:ascii="Times New Roman" w:hAnsi="Times New Roman" w:eastAsia="仿宋_GB2312" w:cs="仿宋_GB2312"/>
          <w:snapToGrid/>
          <w:spacing w:val="0"/>
          <w:kern w:val="2"/>
          <w:sz w:val="32"/>
          <w:szCs w:val="32"/>
          <w:lang w:val="en-US" w:eastAsia="zh"/>
        </w:rPr>
      </w:pPr>
    </w:p>
    <w:p w14:paraId="422A92B1">
      <w:pPr>
        <w:pStyle w:val="10"/>
        <w:rPr>
          <w:rFonts w:hint="eastAsia" w:ascii="Times New Roman" w:hAnsi="Times New Roman" w:eastAsia="仿宋_GB2312" w:cs="仿宋_GB2312"/>
          <w:snapToGrid/>
          <w:spacing w:val="0"/>
          <w:kern w:val="2"/>
          <w:sz w:val="32"/>
          <w:szCs w:val="32"/>
          <w:lang w:val="en-US" w:eastAsia="zh"/>
        </w:rPr>
      </w:pPr>
    </w:p>
    <w:p w14:paraId="3F21C69A">
      <w:pPr>
        <w:pStyle w:val="10"/>
        <w:rPr>
          <w:rFonts w:hint="eastAsia" w:ascii="Times New Roman" w:hAnsi="Times New Roman" w:eastAsia="仿宋_GB2312" w:cs="仿宋_GB2312"/>
          <w:snapToGrid/>
          <w:spacing w:val="0"/>
          <w:kern w:val="2"/>
          <w:sz w:val="32"/>
          <w:szCs w:val="32"/>
          <w:lang w:val="en-US" w:eastAsia="zh"/>
        </w:rPr>
      </w:pPr>
    </w:p>
    <w:p w14:paraId="53A1F073">
      <w:pPr>
        <w:pStyle w:val="10"/>
        <w:rPr>
          <w:rFonts w:hint="eastAsia" w:ascii="Times New Roman" w:hAnsi="Times New Roman" w:eastAsia="仿宋_GB2312" w:cs="仿宋_GB2312"/>
          <w:snapToGrid/>
          <w:spacing w:val="0"/>
          <w:kern w:val="2"/>
          <w:sz w:val="32"/>
          <w:szCs w:val="32"/>
          <w:lang w:val="en-US" w:eastAsia="zh"/>
        </w:rPr>
      </w:pPr>
    </w:p>
    <w:p w14:paraId="4A0F0908">
      <w:pPr>
        <w:pStyle w:val="10"/>
        <w:rPr>
          <w:rFonts w:hint="eastAsia" w:ascii="Times New Roman" w:hAnsi="Times New Roman" w:eastAsia="仿宋_GB2312" w:cs="仿宋_GB2312"/>
          <w:snapToGrid/>
          <w:spacing w:val="0"/>
          <w:kern w:val="2"/>
          <w:sz w:val="32"/>
          <w:szCs w:val="32"/>
          <w:lang w:val="en-US" w:eastAsia="zh"/>
        </w:rPr>
      </w:pPr>
    </w:p>
    <w:p w14:paraId="2C3A8681">
      <w:pPr>
        <w:pStyle w:val="10"/>
        <w:rPr>
          <w:rFonts w:hint="eastAsia" w:ascii="Times New Roman" w:hAnsi="Times New Roman" w:eastAsia="仿宋_GB2312" w:cs="仿宋_GB2312"/>
          <w:snapToGrid/>
          <w:spacing w:val="0"/>
          <w:kern w:val="2"/>
          <w:sz w:val="32"/>
          <w:szCs w:val="32"/>
          <w:lang w:val="en-US" w:eastAsia="zh"/>
        </w:rPr>
      </w:pPr>
    </w:p>
    <w:p w14:paraId="01EA1DB4">
      <w:pPr>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jc w:val="both"/>
        <w:textAlignment w:val="auto"/>
        <w:rPr>
          <w:rFonts w:hint="default" w:ascii="黑体" w:hAnsi="黑体" w:eastAsia="黑体" w:cs="黑体"/>
          <w:snapToGrid/>
          <w:kern w:val="2"/>
          <w:sz w:val="32"/>
          <w:szCs w:val="32"/>
          <w:lang w:val="en-US" w:eastAsia="zh-CN"/>
        </w:rPr>
      </w:pPr>
    </w:p>
    <w:p w14:paraId="621E2456">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仿宋_GB2312"/>
          <w:snapToGrid/>
          <w:kern w:val="2"/>
          <w:sz w:val="32"/>
          <w:szCs w:val="32"/>
          <w:lang w:val="en-US" w:eastAsia="zh-CN" w:bidi="ar-SA"/>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B7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18A0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F18A0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MmRmYTA5NGU0NDQ0ZTlkMzRlNWJlNTFlZWI4MDUifQ=="/>
  </w:docVars>
  <w:rsids>
    <w:rsidRoot w:val="00000000"/>
    <w:rsid w:val="008B737C"/>
    <w:rsid w:val="0391535D"/>
    <w:rsid w:val="07C2760B"/>
    <w:rsid w:val="09F9539C"/>
    <w:rsid w:val="0AB77FE5"/>
    <w:rsid w:val="0B640F3B"/>
    <w:rsid w:val="0C6C454B"/>
    <w:rsid w:val="105772C0"/>
    <w:rsid w:val="10BF16E5"/>
    <w:rsid w:val="11905D1D"/>
    <w:rsid w:val="154047C7"/>
    <w:rsid w:val="1F824A45"/>
    <w:rsid w:val="20184D9A"/>
    <w:rsid w:val="213571AA"/>
    <w:rsid w:val="21724A7F"/>
    <w:rsid w:val="22384D0C"/>
    <w:rsid w:val="22780674"/>
    <w:rsid w:val="24BC729A"/>
    <w:rsid w:val="29B54D92"/>
    <w:rsid w:val="2B414161"/>
    <w:rsid w:val="2C222F5F"/>
    <w:rsid w:val="2CCE155D"/>
    <w:rsid w:val="2D93073E"/>
    <w:rsid w:val="2DC600DF"/>
    <w:rsid w:val="30BA449D"/>
    <w:rsid w:val="37400225"/>
    <w:rsid w:val="375C2B9C"/>
    <w:rsid w:val="38D40BFF"/>
    <w:rsid w:val="399159E4"/>
    <w:rsid w:val="3A2A1F0A"/>
    <w:rsid w:val="3A2E6291"/>
    <w:rsid w:val="3A431D67"/>
    <w:rsid w:val="3B4C6936"/>
    <w:rsid w:val="464E69E7"/>
    <w:rsid w:val="4C70768E"/>
    <w:rsid w:val="4CDB4C2D"/>
    <w:rsid w:val="539A64F3"/>
    <w:rsid w:val="546F4F3A"/>
    <w:rsid w:val="54AB56D0"/>
    <w:rsid w:val="56384F6E"/>
    <w:rsid w:val="56E50F87"/>
    <w:rsid w:val="58153374"/>
    <w:rsid w:val="5CCF0EB8"/>
    <w:rsid w:val="5D3D68F2"/>
    <w:rsid w:val="5F4A1C98"/>
    <w:rsid w:val="629C16CB"/>
    <w:rsid w:val="63534F55"/>
    <w:rsid w:val="669464C0"/>
    <w:rsid w:val="6742110E"/>
    <w:rsid w:val="68DB4B78"/>
    <w:rsid w:val="69CC3C94"/>
    <w:rsid w:val="6D1E1BAB"/>
    <w:rsid w:val="6D6C2159"/>
    <w:rsid w:val="6EA83B27"/>
    <w:rsid w:val="6F42262A"/>
    <w:rsid w:val="70851AD8"/>
    <w:rsid w:val="70A03AAD"/>
    <w:rsid w:val="722D465F"/>
    <w:rsid w:val="7CC52305"/>
    <w:rsid w:val="7FE1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1"/>
    <w:next w:val="1"/>
    <w:qFormat/>
    <w:uiPriority w:val="0"/>
    <w:pPr>
      <w:spacing w:after="120"/>
      <w:ind w:leftChars="200" w:firstLine="420" w:firstLineChars="200"/>
    </w:pPr>
  </w:style>
  <w:style w:type="paragraph" w:customStyle="1" w:styleId="10">
    <w:name w:val="样式 首行缩进:  2 字符"/>
    <w:basedOn w:val="1"/>
    <w:autoRedefine/>
    <w:qFormat/>
    <w:uiPriority w:val="0"/>
    <w:pPr>
      <w:ind w:firstLine="560" w:firstLineChars="200"/>
    </w:pPr>
    <w:rPr>
      <w:rFonts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12098</Words>
  <Characters>12930</Characters>
  <Lines>0</Lines>
  <Paragraphs>0</Paragraphs>
  <TotalTime>16</TotalTime>
  <ScaleCrop>false</ScaleCrop>
  <LinksUpToDate>false</LinksUpToDate>
  <CharactersWithSpaces>12930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2024-10-05T08:23:00Z</dcterms:created>
  <dc:creator>Lenovo</dc:creator>
  <cp:lastModifiedBy>exquisite</cp:lastModifiedBy>
  <cp:lastPrinted>2024-11-01T00:31:00Z</cp:lastPrinted>
  <dcterms:modified xsi:type="dcterms:W3CDTF">2024-11-08T03:08:44Z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5E2B1A7A82DF4C1DA81A5AC94AD8F98D_12</vt:lpwstr>
  </property>
</Properties>
</file>