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52C0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bookmarkStart w:id="42" w:name="_GoBack"/>
      <w:r>
        <w:rPr>
          <w:rFonts w:hint="eastAsia" w:ascii="Times New Roman" w:hAnsi="Times New Roman" w:eastAsia="方正小标宋简体" w:cs="方正小标宋简体"/>
          <w:sz w:val="44"/>
          <w:szCs w:val="44"/>
          <w:lang w:val="en-US" w:eastAsia="zh-CN"/>
        </w:rPr>
        <w:t>西乡县人民医院“肿瘤治疗中心及配套服务”项目绩效评价报告</w:t>
      </w:r>
      <w:bookmarkEnd w:id="42"/>
    </w:p>
    <w:p w14:paraId="55EEB2A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 w:hAnsi="仿宋" w:eastAsia="仿宋" w:cs="仿宋"/>
          <w:snapToGrid w:val="0"/>
          <w:color w:val="auto"/>
          <w:kern w:val="0"/>
          <w:sz w:val="56"/>
          <w:szCs w:val="56"/>
          <w:highlight w:val="none"/>
        </w:rPr>
      </w:pPr>
    </w:p>
    <w:p w14:paraId="51C4EDF3">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黑体" w:hAnsi="黑体" w:eastAsia="黑体" w:cs="黑体"/>
          <w:sz w:val="32"/>
          <w:szCs w:val="32"/>
          <w:lang w:val="en-US" w:eastAsia="zh-CN"/>
        </w:rPr>
      </w:pPr>
      <w:bookmarkStart w:id="0" w:name="_Toc17987"/>
      <w:bookmarkStart w:id="1" w:name="_Toc7126"/>
      <w:bookmarkStart w:id="2" w:name="_Toc25584"/>
      <w:bookmarkStart w:id="3" w:name="_Toc10325"/>
      <w:bookmarkStart w:id="4" w:name="_Toc23530"/>
      <w:bookmarkStart w:id="5" w:name="_Toc23299"/>
      <w:bookmarkStart w:id="6" w:name="_Toc11446"/>
      <w:bookmarkStart w:id="7" w:name="_Toc15495"/>
      <w:bookmarkStart w:id="8" w:name="_Toc30900"/>
      <w:r>
        <w:rPr>
          <w:rFonts w:hint="eastAsia" w:ascii="黑体" w:hAnsi="黑体" w:eastAsia="黑体" w:cs="黑体"/>
          <w:sz w:val="32"/>
          <w:szCs w:val="32"/>
        </w:rPr>
        <w:t>一、</w:t>
      </w:r>
      <w:bookmarkEnd w:id="0"/>
      <w:r>
        <w:rPr>
          <w:rFonts w:hint="eastAsia" w:ascii="黑体" w:hAnsi="黑体" w:eastAsia="黑体" w:cs="黑体"/>
          <w:sz w:val="32"/>
          <w:szCs w:val="32"/>
          <w:lang w:val="en-US" w:eastAsia="zh-CN"/>
        </w:rPr>
        <w:t>基本情况</w:t>
      </w:r>
      <w:bookmarkEnd w:id="1"/>
      <w:bookmarkEnd w:id="2"/>
      <w:bookmarkEnd w:id="3"/>
      <w:bookmarkEnd w:id="4"/>
      <w:bookmarkEnd w:id="5"/>
      <w:bookmarkEnd w:id="6"/>
      <w:bookmarkEnd w:id="7"/>
      <w:bookmarkEnd w:id="8"/>
    </w:p>
    <w:p w14:paraId="4E89A1A1">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仿宋_GB2312"/>
          <w:sz w:val="32"/>
          <w:szCs w:val="32"/>
        </w:rPr>
        <w:t>加快医疗设施改革的步伐，建立健全基层医疗卫生体系，全面改善医疗卫生基础设施条件，为广大群体提供更加优质和便捷的医疗服务，构筑公共安全和卫生的绿色屏障，西乡县人民医院特向县委、县政府申请建设</w:t>
      </w:r>
      <w:r>
        <w:rPr>
          <w:rFonts w:hint="eastAsia" w:ascii="Times New Roman" w:hAnsi="Times New Roman" w:eastAsia="仿宋_GB2312" w:cs="仿宋_GB2312"/>
          <w:sz w:val="32"/>
          <w:szCs w:val="32"/>
          <w:lang w:eastAsia="zh-CN"/>
        </w:rPr>
        <w:t>“肿瘤治疗中心及配套服务”项目</w:t>
      </w:r>
      <w:r>
        <w:rPr>
          <w:rFonts w:hint="eastAsia" w:ascii="Times New Roman" w:hAnsi="Times New Roman" w:eastAsia="仿宋_GB2312" w:cs="仿宋_GB2312"/>
          <w:sz w:val="32"/>
          <w:szCs w:val="32"/>
        </w:rPr>
        <w:t>，该项目于2022年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取得初设批复，建设内容为：在西乡县人民医院院内，新建肿瘤治疗中心及配套服务项目，总建筑面积3862.6平方米。其中，肿瘤治疗中心总面积3606.45平方米，污水处理站、门房制氧机房总面积256.15平方米。绿地39580.26平方米。配套建设停车场5775平方米、道路19878.48平方米、广场、绿化景观、给排水、室外电气、围墙、大门、消防等室外工程。</w:t>
      </w:r>
    </w:p>
    <w:p w14:paraId="186E1C3B">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项目概算总投资</w:t>
      </w:r>
      <w:r>
        <w:rPr>
          <w:rFonts w:hint="eastAsia" w:ascii="Times New Roman" w:hAnsi="Times New Roman" w:eastAsia="仿宋_GB2312" w:cs="仿宋_GB2312"/>
          <w:sz w:val="32"/>
          <w:szCs w:val="32"/>
          <w:lang w:eastAsia="zh-CN"/>
        </w:rPr>
        <w:t>12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867.43</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，其资金来源为申请地方政府专项债券及自筹解决。</w:t>
      </w:r>
    </w:p>
    <w:p w14:paraId="544B31F8">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黑体" w:hAnsi="黑体" w:eastAsia="黑体" w:cs="黑体"/>
          <w:sz w:val="32"/>
          <w:szCs w:val="32"/>
        </w:rPr>
      </w:pPr>
      <w:r>
        <w:rPr>
          <w:rFonts w:hint="eastAsia" w:ascii="Times New Roman" w:hAnsi="Times New Roman" w:eastAsia="仿宋_GB2312" w:cs="仿宋_GB2312"/>
          <w:sz w:val="32"/>
          <w:szCs w:val="32"/>
          <w:lang w:val="en-US" w:eastAsia="zh-CN"/>
        </w:rPr>
        <w:t>本次项目绩效评价的主要内容为：项目决策情况，资金管理和使用情况，相关管理制度办法的健全性及执行情况，实现的产出情况，取得的效益情况等。</w:t>
      </w:r>
      <w:bookmarkStart w:id="9" w:name="_Toc8754"/>
      <w:bookmarkStart w:id="10" w:name="_Toc30612"/>
      <w:bookmarkStart w:id="11" w:name="_Toc6396"/>
      <w:bookmarkStart w:id="12" w:name="_Toc6165"/>
      <w:bookmarkStart w:id="13" w:name="_Toc23490"/>
      <w:bookmarkStart w:id="14" w:name="_Toc20309"/>
      <w:bookmarkStart w:id="15" w:name="_Toc18152"/>
      <w:bookmarkStart w:id="16" w:name="_Toc29652"/>
      <w:bookmarkStart w:id="17" w:name="_Toc12438"/>
    </w:p>
    <w:p w14:paraId="737B13FD">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综合</w:t>
      </w:r>
      <w:r>
        <w:rPr>
          <w:rFonts w:hint="eastAsia" w:ascii="黑体" w:hAnsi="黑体" w:eastAsia="黑体" w:cs="黑体"/>
          <w:sz w:val="32"/>
          <w:szCs w:val="32"/>
        </w:rPr>
        <w:t>评价结论</w:t>
      </w:r>
      <w:bookmarkEnd w:id="9"/>
      <w:bookmarkEnd w:id="10"/>
      <w:bookmarkEnd w:id="11"/>
      <w:bookmarkEnd w:id="12"/>
      <w:bookmarkEnd w:id="13"/>
      <w:bookmarkEnd w:id="14"/>
      <w:bookmarkEnd w:id="15"/>
      <w:bookmarkEnd w:id="16"/>
      <w:bookmarkEnd w:id="17"/>
    </w:p>
    <w:p w14:paraId="5FC6D662">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西乡县人民医院“肿瘤治疗中心及配套服务”项目</w:t>
      </w:r>
      <w:r>
        <w:rPr>
          <w:rFonts w:hint="eastAsia" w:ascii="Times New Roman" w:hAnsi="Times New Roman" w:eastAsia="仿宋_GB2312" w:cs="仿宋_GB2312"/>
          <w:sz w:val="32"/>
          <w:szCs w:val="32"/>
        </w:rPr>
        <w:t>绩效评价最终评分结果为：</w:t>
      </w:r>
      <w:r>
        <w:rPr>
          <w:rFonts w:hint="eastAsia" w:ascii="Times New Roman" w:hAnsi="Times New Roman" w:eastAsia="仿宋_GB2312" w:cs="仿宋_GB2312"/>
          <w:sz w:val="32"/>
          <w:szCs w:val="32"/>
          <w:lang w:val="en-US" w:eastAsia="zh-CN"/>
        </w:rPr>
        <w:t>81.96分</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绩效评级为“良”</w:t>
      </w:r>
      <w:r>
        <w:rPr>
          <w:rFonts w:hint="eastAsia" w:ascii="Times New Roman" w:hAnsi="Times New Roman" w:eastAsia="仿宋_GB2312" w:cs="仿宋_GB2312"/>
          <w:sz w:val="32"/>
          <w:szCs w:val="32"/>
        </w:rPr>
        <w:t>。该项目按照计划内容</w:t>
      </w:r>
      <w:r>
        <w:rPr>
          <w:rFonts w:hint="eastAsia" w:ascii="Times New Roman" w:hAnsi="Times New Roman" w:eastAsia="仿宋_GB2312" w:cs="仿宋_GB2312"/>
          <w:sz w:val="32"/>
          <w:szCs w:val="32"/>
          <w:lang w:val="en-US" w:eastAsia="zh-CN"/>
        </w:rPr>
        <w:t>建设</w:t>
      </w:r>
      <w:r>
        <w:rPr>
          <w:rFonts w:hint="eastAsia" w:ascii="Times New Roman" w:hAnsi="Times New Roman" w:eastAsia="仿宋_GB2312" w:cs="仿宋_GB2312"/>
          <w:sz w:val="32"/>
          <w:szCs w:val="32"/>
        </w:rPr>
        <w:t>，项目建设程序合法合规，财务数据真实；项目建成后，能够提</w:t>
      </w:r>
      <w:r>
        <w:rPr>
          <w:rFonts w:hint="eastAsia" w:ascii="Times New Roman" w:hAnsi="Times New Roman" w:eastAsia="仿宋_GB2312" w:cs="仿宋_GB2312"/>
          <w:sz w:val="32"/>
          <w:szCs w:val="32"/>
          <w:lang w:val="en-US" w:eastAsia="zh-CN"/>
        </w:rPr>
        <w:t>高</w:t>
      </w:r>
      <w:r>
        <w:rPr>
          <w:rFonts w:hint="eastAsia" w:ascii="Times New Roman" w:hAnsi="Times New Roman" w:eastAsia="仿宋_GB2312" w:cs="仿宋_GB2312"/>
          <w:sz w:val="32"/>
          <w:szCs w:val="32"/>
          <w:lang w:eastAsia="zh-CN"/>
        </w:rPr>
        <w:t>西乡县</w:t>
      </w:r>
      <w:r>
        <w:rPr>
          <w:rFonts w:hint="eastAsia" w:ascii="Times New Roman" w:hAnsi="Times New Roman" w:eastAsia="仿宋_GB2312" w:cs="仿宋_GB2312"/>
          <w:sz w:val="32"/>
          <w:szCs w:val="32"/>
          <w:lang w:val="en-US" w:eastAsia="zh-CN"/>
        </w:rPr>
        <w:t>医疗卫生服务水平，解决人民群众就医困难</w:t>
      </w:r>
      <w:r>
        <w:rPr>
          <w:rFonts w:hint="eastAsia" w:ascii="Times New Roman" w:hAnsi="Times New Roman" w:eastAsia="仿宋_GB2312" w:cs="仿宋_GB2312"/>
          <w:sz w:val="32"/>
          <w:szCs w:val="32"/>
        </w:rPr>
        <w:t>，实现了一定的经济效益与社会效益，项目能带来长期的可持续影响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项目相关方</w:t>
      </w:r>
      <w:r>
        <w:rPr>
          <w:rFonts w:hint="eastAsia" w:ascii="Times New Roman" w:hAnsi="Times New Roman" w:eastAsia="仿宋_GB2312" w:cs="仿宋_GB2312"/>
          <w:sz w:val="32"/>
          <w:szCs w:val="32"/>
        </w:rPr>
        <w:t>满意度</w:t>
      </w:r>
      <w:r>
        <w:rPr>
          <w:rFonts w:hint="eastAsia" w:ascii="Times New Roman" w:hAnsi="Times New Roman" w:eastAsia="仿宋_GB2312" w:cs="仿宋_GB2312"/>
          <w:sz w:val="32"/>
          <w:szCs w:val="32"/>
          <w:lang w:val="en-US" w:eastAsia="zh-CN"/>
        </w:rPr>
        <w:t>高</w:t>
      </w:r>
      <w:r>
        <w:rPr>
          <w:rFonts w:hint="eastAsia" w:ascii="Times New Roman" w:hAnsi="Times New Roman" w:eastAsia="仿宋_GB2312" w:cs="仿宋_GB2312"/>
          <w:sz w:val="32"/>
          <w:szCs w:val="32"/>
        </w:rPr>
        <w:t>。但也存在项目</w:t>
      </w:r>
      <w:r>
        <w:rPr>
          <w:rFonts w:hint="eastAsia" w:ascii="Times New Roman" w:hAnsi="Times New Roman" w:eastAsia="仿宋_GB2312" w:cs="仿宋_GB2312"/>
          <w:sz w:val="32"/>
          <w:szCs w:val="32"/>
          <w:lang w:val="en-US" w:eastAsia="zh-CN"/>
        </w:rPr>
        <w:t>进度延迟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专项债券</w:t>
      </w:r>
      <w:r>
        <w:rPr>
          <w:rFonts w:hint="eastAsia" w:ascii="Times New Roman" w:hAnsi="Times New Roman" w:eastAsia="仿宋_GB2312" w:cs="仿宋_GB2312"/>
          <w:sz w:val="32"/>
          <w:szCs w:val="32"/>
          <w:lang w:val="en-US" w:eastAsia="zh-CN"/>
        </w:rPr>
        <w:t>未纳入预算管理、未按期付息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绩效监控不到位</w:t>
      </w:r>
      <w:r>
        <w:rPr>
          <w:rFonts w:hint="eastAsia" w:ascii="Times New Roman" w:hAnsi="Times New Roman" w:eastAsia="仿宋_GB2312" w:cs="仿宋_GB2312"/>
          <w:sz w:val="32"/>
          <w:szCs w:val="32"/>
          <w:lang w:val="en-US" w:eastAsia="zh-CN"/>
        </w:rPr>
        <w:t>等问题。</w:t>
      </w:r>
    </w:p>
    <w:p w14:paraId="1BE49D63">
      <w:pPr>
        <w:keepNext w:val="0"/>
        <w:keepLines w:val="0"/>
        <w:pageBreakBefore w:val="0"/>
        <w:widowControl w:val="0"/>
        <w:kinsoku/>
        <w:wordWrap/>
        <w:overflowPunct/>
        <w:topLinePunct w:val="0"/>
        <w:autoSpaceDE/>
        <w:autoSpaceDN/>
        <w:bidi w:val="0"/>
        <w:adjustRightInd/>
        <w:snapToGrid/>
        <w:spacing w:line="554" w:lineRule="exact"/>
        <w:ind w:firstLine="1212" w:firstLineChars="503"/>
        <w:textAlignment w:val="auto"/>
        <w:rPr>
          <w:rFonts w:hint="eastAsia" w:ascii="仿宋" w:hAnsi="仿宋" w:eastAsia="仿宋" w:cs="仿宋"/>
          <w:sz w:val="24"/>
          <w:szCs w:val="24"/>
          <w:lang w:val="en-US" w:eastAsia="zh-CN"/>
        </w:rPr>
      </w:pPr>
      <w:bookmarkStart w:id="18" w:name="_Toc12008"/>
      <w:bookmarkStart w:id="19" w:name="_Toc2641"/>
      <w:bookmarkStart w:id="20" w:name="_Toc25633"/>
      <w:bookmarkStart w:id="21" w:name="_Toc15190"/>
      <w:bookmarkStart w:id="22" w:name="_Toc11484"/>
      <w:bookmarkStart w:id="23" w:name="_Toc8432"/>
      <w:bookmarkStart w:id="24" w:name="_Toc11176"/>
      <w:bookmarkStart w:id="25" w:name="_Toc27759"/>
      <w:r>
        <w:rPr>
          <w:rFonts w:hint="eastAsia" w:ascii="仿宋" w:hAnsi="仿宋" w:eastAsia="仿宋" w:cs="仿宋"/>
          <w:b/>
          <w:bCs/>
          <w:sz w:val="24"/>
          <w:szCs w:val="24"/>
          <w:lang w:val="en-US" w:eastAsia="zh-CN"/>
        </w:rPr>
        <w:t>西乡县人民医院“肿瘤治疗中心及配套服务”项目指标评分表</w:t>
      </w:r>
      <w:bookmarkEnd w:id="18"/>
      <w:bookmarkEnd w:id="19"/>
      <w:bookmarkEnd w:id="20"/>
      <w:bookmarkEnd w:id="21"/>
      <w:bookmarkEnd w:id="22"/>
      <w:bookmarkEnd w:id="23"/>
      <w:bookmarkEnd w:id="24"/>
      <w:bookmarkEnd w:id="25"/>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2"/>
        <w:gridCol w:w="2213"/>
        <w:gridCol w:w="2213"/>
        <w:gridCol w:w="2223"/>
      </w:tblGrid>
      <w:tr w14:paraId="5007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1248" w:type="pct"/>
            <w:noWrap w:val="0"/>
            <w:tcMar>
              <w:top w:w="10" w:type="dxa"/>
              <w:left w:w="10" w:type="dxa"/>
              <w:right w:w="10" w:type="dxa"/>
            </w:tcMar>
            <w:vAlign w:val="center"/>
          </w:tcPr>
          <w:p w14:paraId="0660E6CF">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一级指标</w:t>
            </w:r>
          </w:p>
        </w:tc>
        <w:tc>
          <w:tcPr>
            <w:tcW w:w="1249" w:type="pct"/>
            <w:noWrap w:val="0"/>
            <w:tcMar>
              <w:top w:w="10" w:type="dxa"/>
              <w:left w:w="10" w:type="dxa"/>
              <w:right w:w="10" w:type="dxa"/>
            </w:tcMar>
            <w:vAlign w:val="center"/>
          </w:tcPr>
          <w:p w14:paraId="16894633">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分值</w:t>
            </w:r>
          </w:p>
        </w:tc>
        <w:tc>
          <w:tcPr>
            <w:tcW w:w="1249" w:type="pct"/>
            <w:noWrap w:val="0"/>
            <w:tcMar>
              <w:top w:w="10" w:type="dxa"/>
              <w:left w:w="10" w:type="dxa"/>
              <w:right w:w="10" w:type="dxa"/>
            </w:tcMar>
            <w:vAlign w:val="center"/>
          </w:tcPr>
          <w:p w14:paraId="47A94D8C">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得分</w:t>
            </w:r>
          </w:p>
        </w:tc>
        <w:tc>
          <w:tcPr>
            <w:tcW w:w="1252" w:type="pct"/>
            <w:noWrap w:val="0"/>
            <w:tcMar>
              <w:top w:w="10" w:type="dxa"/>
              <w:left w:w="10" w:type="dxa"/>
              <w:right w:w="10" w:type="dxa"/>
            </w:tcMar>
            <w:vAlign w:val="center"/>
          </w:tcPr>
          <w:p w14:paraId="1EE88D05">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得分率</w:t>
            </w:r>
          </w:p>
        </w:tc>
      </w:tr>
      <w:tr w14:paraId="612B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8" w:type="pct"/>
            <w:noWrap w:val="0"/>
            <w:tcMar>
              <w:top w:w="10" w:type="dxa"/>
              <w:left w:w="10" w:type="dxa"/>
              <w:right w:w="10" w:type="dxa"/>
            </w:tcMar>
            <w:vAlign w:val="center"/>
          </w:tcPr>
          <w:p w14:paraId="1EBEEAFF">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A决策</w:t>
            </w:r>
          </w:p>
        </w:tc>
        <w:tc>
          <w:tcPr>
            <w:tcW w:w="1249" w:type="pct"/>
            <w:noWrap w:val="0"/>
            <w:tcMar>
              <w:top w:w="10" w:type="dxa"/>
              <w:left w:w="10" w:type="dxa"/>
              <w:right w:w="10" w:type="dxa"/>
            </w:tcMar>
            <w:vAlign w:val="center"/>
          </w:tcPr>
          <w:p w14:paraId="4E08834C">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w:t>
            </w:r>
          </w:p>
        </w:tc>
        <w:tc>
          <w:tcPr>
            <w:tcW w:w="1249" w:type="pct"/>
            <w:noWrap w:val="0"/>
            <w:tcMar>
              <w:top w:w="10" w:type="dxa"/>
              <w:left w:w="10" w:type="dxa"/>
              <w:right w:w="10" w:type="dxa"/>
            </w:tcMar>
            <w:vAlign w:val="center"/>
          </w:tcPr>
          <w:p w14:paraId="613CCEBE">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252" w:type="pct"/>
            <w:noWrap w:val="0"/>
            <w:tcMar>
              <w:top w:w="10" w:type="dxa"/>
              <w:left w:w="10" w:type="dxa"/>
              <w:right w:w="10" w:type="dxa"/>
            </w:tcMar>
            <w:vAlign w:val="center"/>
          </w:tcPr>
          <w:p w14:paraId="50C2DE05">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r>
      <w:tr w14:paraId="431F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8" w:type="pct"/>
            <w:noWrap w:val="0"/>
            <w:tcMar>
              <w:top w:w="10" w:type="dxa"/>
              <w:left w:w="10" w:type="dxa"/>
              <w:right w:w="10" w:type="dxa"/>
            </w:tcMar>
            <w:vAlign w:val="center"/>
          </w:tcPr>
          <w:p w14:paraId="47A85F9C">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B过程</w:t>
            </w:r>
          </w:p>
        </w:tc>
        <w:tc>
          <w:tcPr>
            <w:tcW w:w="1249" w:type="pct"/>
            <w:noWrap w:val="0"/>
            <w:tcMar>
              <w:top w:w="10" w:type="dxa"/>
              <w:left w:w="10" w:type="dxa"/>
              <w:right w:w="10" w:type="dxa"/>
            </w:tcMar>
            <w:vAlign w:val="center"/>
          </w:tcPr>
          <w:p w14:paraId="045C698C">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1249" w:type="pct"/>
            <w:noWrap w:val="0"/>
            <w:tcMar>
              <w:top w:w="10" w:type="dxa"/>
              <w:left w:w="10" w:type="dxa"/>
              <w:right w:w="10" w:type="dxa"/>
            </w:tcMar>
            <w:vAlign w:val="center"/>
          </w:tcPr>
          <w:p w14:paraId="0FF8C8A2">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14.96</w:t>
            </w:r>
          </w:p>
        </w:tc>
        <w:tc>
          <w:tcPr>
            <w:tcW w:w="1252" w:type="pct"/>
            <w:noWrap w:val="0"/>
            <w:tcMar>
              <w:top w:w="10" w:type="dxa"/>
              <w:left w:w="10" w:type="dxa"/>
              <w:right w:w="10" w:type="dxa"/>
            </w:tcMar>
            <w:vAlign w:val="center"/>
          </w:tcPr>
          <w:p w14:paraId="21810EBF">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74.80</w:t>
            </w:r>
            <w:r>
              <w:rPr>
                <w:rFonts w:hint="default" w:ascii="Times New Roman" w:hAnsi="Times New Roman" w:eastAsia="仿宋" w:cs="Times New Roman"/>
                <w:sz w:val="24"/>
                <w:szCs w:val="24"/>
                <w:highlight w:val="none"/>
                <w:lang w:val="en-US" w:eastAsia="zh-CN"/>
              </w:rPr>
              <w:t>%</w:t>
            </w:r>
          </w:p>
        </w:tc>
      </w:tr>
      <w:tr w14:paraId="37D0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8" w:type="pct"/>
            <w:noWrap w:val="0"/>
            <w:tcMar>
              <w:top w:w="10" w:type="dxa"/>
              <w:left w:w="10" w:type="dxa"/>
              <w:right w:w="10" w:type="dxa"/>
            </w:tcMar>
            <w:vAlign w:val="center"/>
          </w:tcPr>
          <w:p w14:paraId="2A884318">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C产出</w:t>
            </w:r>
          </w:p>
        </w:tc>
        <w:tc>
          <w:tcPr>
            <w:tcW w:w="1249" w:type="pct"/>
            <w:noWrap w:val="0"/>
            <w:tcMar>
              <w:top w:w="10" w:type="dxa"/>
              <w:left w:w="10" w:type="dxa"/>
              <w:right w:w="10" w:type="dxa"/>
            </w:tcMar>
            <w:vAlign w:val="center"/>
          </w:tcPr>
          <w:p w14:paraId="475772A3">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40</w:t>
            </w:r>
          </w:p>
        </w:tc>
        <w:tc>
          <w:tcPr>
            <w:tcW w:w="1249" w:type="pct"/>
            <w:noWrap w:val="0"/>
            <w:tcMar>
              <w:top w:w="10" w:type="dxa"/>
              <w:left w:w="10" w:type="dxa"/>
              <w:right w:w="10" w:type="dxa"/>
            </w:tcMar>
            <w:vAlign w:val="center"/>
          </w:tcPr>
          <w:p w14:paraId="42FB125D">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31</w:t>
            </w:r>
          </w:p>
        </w:tc>
        <w:tc>
          <w:tcPr>
            <w:tcW w:w="1252" w:type="pct"/>
            <w:noWrap w:val="0"/>
            <w:tcMar>
              <w:top w:w="10" w:type="dxa"/>
              <w:left w:w="10" w:type="dxa"/>
              <w:right w:w="10" w:type="dxa"/>
            </w:tcMar>
            <w:vAlign w:val="center"/>
          </w:tcPr>
          <w:p w14:paraId="673A002D">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77.5</w:t>
            </w:r>
            <w:r>
              <w:rPr>
                <w:rFonts w:hint="eastAsia" w:ascii="Times New Roman" w:hAnsi="Times New Roman" w:eastAsia="仿宋" w:cs="Times New Roman"/>
                <w:sz w:val="24"/>
                <w:szCs w:val="24"/>
                <w:highlight w:val="none"/>
                <w:lang w:val="en-US" w:eastAsia="zh-CN"/>
              </w:rPr>
              <w:t>0</w:t>
            </w:r>
            <w:r>
              <w:rPr>
                <w:rFonts w:hint="default" w:ascii="Times New Roman" w:hAnsi="Times New Roman" w:eastAsia="仿宋" w:cs="Times New Roman"/>
                <w:sz w:val="24"/>
                <w:szCs w:val="24"/>
                <w:highlight w:val="none"/>
                <w:lang w:val="en-US" w:eastAsia="zh-CN"/>
              </w:rPr>
              <w:t>%</w:t>
            </w:r>
          </w:p>
        </w:tc>
      </w:tr>
      <w:tr w14:paraId="741B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8" w:type="pct"/>
            <w:noWrap w:val="0"/>
            <w:tcMar>
              <w:top w:w="10" w:type="dxa"/>
              <w:left w:w="10" w:type="dxa"/>
              <w:right w:w="10" w:type="dxa"/>
            </w:tcMar>
            <w:vAlign w:val="center"/>
          </w:tcPr>
          <w:p w14:paraId="56DD6488">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D效益</w:t>
            </w:r>
          </w:p>
        </w:tc>
        <w:tc>
          <w:tcPr>
            <w:tcW w:w="1249" w:type="pct"/>
            <w:noWrap w:val="0"/>
            <w:tcMar>
              <w:top w:w="10" w:type="dxa"/>
              <w:left w:w="10" w:type="dxa"/>
              <w:right w:w="10" w:type="dxa"/>
            </w:tcMar>
            <w:vAlign w:val="center"/>
          </w:tcPr>
          <w:p w14:paraId="1E9F1DA5">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25</w:t>
            </w:r>
          </w:p>
        </w:tc>
        <w:tc>
          <w:tcPr>
            <w:tcW w:w="1249" w:type="pct"/>
            <w:noWrap w:val="0"/>
            <w:tcMar>
              <w:top w:w="10" w:type="dxa"/>
              <w:left w:w="10" w:type="dxa"/>
              <w:right w:w="10" w:type="dxa"/>
            </w:tcMar>
            <w:vAlign w:val="center"/>
          </w:tcPr>
          <w:p w14:paraId="578E7D67">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21</w:t>
            </w:r>
          </w:p>
        </w:tc>
        <w:tc>
          <w:tcPr>
            <w:tcW w:w="1252" w:type="pct"/>
            <w:noWrap w:val="0"/>
            <w:tcMar>
              <w:top w:w="10" w:type="dxa"/>
              <w:left w:w="10" w:type="dxa"/>
              <w:right w:w="10" w:type="dxa"/>
            </w:tcMar>
            <w:vAlign w:val="center"/>
          </w:tcPr>
          <w:p w14:paraId="0F8368A8">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84%</w:t>
            </w:r>
          </w:p>
        </w:tc>
      </w:tr>
      <w:tr w14:paraId="5900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000" w:type="pct"/>
            <w:gridSpan w:val="4"/>
            <w:noWrap w:val="0"/>
            <w:tcMar>
              <w:top w:w="10" w:type="dxa"/>
              <w:left w:w="10" w:type="dxa"/>
              <w:right w:w="10" w:type="dxa"/>
            </w:tcMar>
            <w:vAlign w:val="center"/>
          </w:tcPr>
          <w:p w14:paraId="3FB88636">
            <w:pPr>
              <w:keepNext w:val="0"/>
              <w:keepLines w:val="0"/>
              <w:pageBreakBefore w:val="0"/>
              <w:widowControl w:val="0"/>
              <w:kinsoku/>
              <w:wordWrap/>
              <w:overflowPunct/>
              <w:topLinePunct w:val="0"/>
              <w:autoSpaceDE/>
              <w:autoSpaceDN/>
              <w:bidi w:val="0"/>
              <w:adjustRightInd/>
              <w:snapToGrid/>
              <w:spacing w:line="554" w:lineRule="exact"/>
              <w:ind w:firstLine="1927" w:firstLineChars="803"/>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绩效评价得分：</w:t>
            </w:r>
            <w:r>
              <w:rPr>
                <w:rFonts w:hint="default" w:ascii="Times New Roman" w:hAnsi="Times New Roman" w:eastAsia="仿宋" w:cs="Times New Roman"/>
                <w:sz w:val="24"/>
                <w:szCs w:val="24"/>
                <w:highlight w:val="none"/>
                <w:lang w:val="en-US" w:eastAsia="zh-CN"/>
              </w:rPr>
              <w:t>81.96</w:t>
            </w:r>
            <w:r>
              <w:rPr>
                <w:rFonts w:hint="eastAsia" w:ascii="仿宋" w:hAnsi="仿宋" w:eastAsia="仿宋" w:cs="仿宋"/>
                <w:sz w:val="24"/>
                <w:szCs w:val="24"/>
                <w:highlight w:val="none"/>
              </w:rPr>
              <w:t>综合评价结果等级：</w:t>
            </w:r>
            <w:r>
              <w:rPr>
                <w:rFonts w:hint="eastAsia" w:ascii="仿宋" w:hAnsi="仿宋" w:eastAsia="仿宋" w:cs="仿宋"/>
                <w:sz w:val="24"/>
                <w:szCs w:val="24"/>
                <w:highlight w:val="none"/>
                <w:lang w:val="en-US" w:eastAsia="zh-CN"/>
              </w:rPr>
              <w:t>良</w:t>
            </w:r>
          </w:p>
        </w:tc>
      </w:tr>
    </w:tbl>
    <w:p w14:paraId="4A33C838">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黑体" w:hAnsi="黑体" w:eastAsia="黑体" w:cs="黑体"/>
          <w:sz w:val="32"/>
          <w:szCs w:val="32"/>
        </w:rPr>
      </w:pPr>
      <w:bookmarkStart w:id="26" w:name="_Toc21693"/>
      <w:bookmarkStart w:id="27" w:name="_Toc29597"/>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rPr>
        <w:t>主要经验及做法</w:t>
      </w:r>
      <w:bookmarkEnd w:id="26"/>
      <w:bookmarkEnd w:id="27"/>
    </w:p>
    <w:p w14:paraId="5A4C0AE9">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_GB2312" w:cs="仿宋_GB2312"/>
          <w:sz w:val="32"/>
          <w:szCs w:val="32"/>
          <w:lang w:val="en-US" w:eastAsia="zh-CN"/>
        </w:rPr>
      </w:pPr>
      <w:bookmarkStart w:id="28" w:name="_Toc31464"/>
      <w:bookmarkStart w:id="29" w:name="_Toc15500"/>
      <w:r>
        <w:rPr>
          <w:rFonts w:hint="eastAsia" w:ascii="楷体_GB2312" w:hAnsi="楷体_GB2312" w:eastAsia="楷体_GB2312" w:cs="楷体_GB2312"/>
          <w:sz w:val="32"/>
          <w:szCs w:val="32"/>
          <w:lang w:val="en-US" w:eastAsia="zh-CN"/>
        </w:rPr>
        <w:t>（一）项目建设是国家对医疗卫生事业发展的政策要求</w:t>
      </w:r>
      <w:bookmarkEnd w:id="28"/>
      <w:bookmarkEnd w:id="29"/>
    </w:p>
    <w:p w14:paraId="7D93975F">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CN"/>
        </w:rPr>
      </w:pPr>
      <w:bookmarkStart w:id="30" w:name="_Toc6299"/>
      <w:bookmarkStart w:id="31" w:name="_Toc10981"/>
      <w:r>
        <w:rPr>
          <w:rFonts w:hint="eastAsia" w:ascii="Times New Roman" w:hAnsi="Times New Roman" w:eastAsia="仿宋_GB2312" w:cs="仿宋_GB2312"/>
          <w:sz w:val="32"/>
          <w:szCs w:val="32"/>
          <w:lang w:val="en-US" w:eastAsia="zh-CN"/>
        </w:rPr>
        <w:t>近年来，国家加大投入力度，加快公共卫生基础设施建设，不断提高疾病预防和医疗救治能力。加快建设疾病预防控制体系、医疗救治体系，提高公共卫生服务水平，统筹城乡卫生发展，鼓励、引导城市卫生资源向农村转移，提高卫生资源的配置使用效率。实现这些要求，就必须完善公共卫生医疗服务体系，建设各级公共卫生医疗机构，并逐步使之医疗现代化、先进化。</w:t>
      </w:r>
      <w:bookmarkEnd w:id="30"/>
      <w:bookmarkEnd w:id="31"/>
      <w:bookmarkStart w:id="32" w:name="_Toc15838"/>
      <w:bookmarkStart w:id="33" w:name="_Toc29829"/>
    </w:p>
    <w:p w14:paraId="3B2AFDB3">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CN"/>
        </w:rPr>
      </w:pPr>
    </w:p>
    <w:p w14:paraId="4D245892">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（二）项目建设是保障地方社会稳定和经济繁荣的需要</w:t>
      </w:r>
      <w:bookmarkEnd w:id="32"/>
      <w:bookmarkEnd w:id="33"/>
    </w:p>
    <w:p w14:paraId="42575B25">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Times New Roman" w:hAnsi="Times New Roman" w:eastAsia="仿宋_GB2312" w:cs="仿宋_GB2312"/>
          <w:sz w:val="32"/>
          <w:szCs w:val="32"/>
          <w:lang w:val="en-US" w:eastAsia="zh-CN"/>
        </w:rPr>
      </w:pPr>
      <w:bookmarkStart w:id="34" w:name="_Toc4721"/>
      <w:bookmarkStart w:id="35" w:name="_Toc15571"/>
      <w:r>
        <w:rPr>
          <w:rFonts w:hint="eastAsia" w:ascii="Times New Roman" w:hAnsi="Times New Roman" w:eastAsia="仿宋_GB2312" w:cs="仿宋_GB2312"/>
          <w:sz w:val="32"/>
          <w:szCs w:val="32"/>
          <w:lang w:val="en-US" w:eastAsia="zh-CN"/>
        </w:rPr>
        <w:t>西乡县人民医院在西乡县医疗机构体系中占据重要地位，其医疗卫生基础设施条件的完善，极大提高了当地医疗卫生建设水平，弥补县级医疗机构医疗资源相对不足、医疗设施相对落后的现状，同时提升西乡县医疗服务质量及服务效率，优化医疗服务硬件设施及医疗环境，解决西乡县居民医疗卫生需求提升等问题，满足更多人群的健康服务需求，增强人民群众获得感、幸福感、安全感，有利于保障当地的社会稳定，进而促进经济的繁荣。</w:t>
      </w:r>
      <w:bookmarkEnd w:id="34"/>
      <w:bookmarkEnd w:id="35"/>
    </w:p>
    <w:p w14:paraId="69FFD350">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CN"/>
        </w:rPr>
      </w:pPr>
      <w:bookmarkStart w:id="36" w:name="_Toc24036"/>
      <w:bookmarkStart w:id="37" w:name="_Toc30280"/>
      <w:r>
        <w:rPr>
          <w:rFonts w:hint="eastAsia" w:ascii="楷体_GB2312" w:hAnsi="楷体_GB2312" w:eastAsia="楷体_GB2312" w:cs="楷体_GB2312"/>
          <w:sz w:val="32"/>
          <w:szCs w:val="32"/>
          <w:lang w:val="en-US" w:eastAsia="zh-CN"/>
        </w:rPr>
        <w:t>（三）项目建设解决了群众看病难的问题</w:t>
      </w:r>
      <w:bookmarkEnd w:id="36"/>
      <w:bookmarkEnd w:id="37"/>
    </w:p>
    <w:p w14:paraId="01DCBFCD">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本项目的实施将大幅度地改善患者和医务人员的医疗条件和工作环境，有利于医院未来的高质量发展，有利于持续提高服务质量。从根本上解决了群众看病难的问题，努力实现“大病不出县”的目标。</w:t>
      </w:r>
    </w:p>
    <w:p w14:paraId="57A06B37">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黑体" w:hAnsi="黑体" w:eastAsia="黑体" w:cs="黑体"/>
          <w:sz w:val="32"/>
          <w:szCs w:val="32"/>
          <w:lang w:val="en-US" w:eastAsia="zh-CN"/>
        </w:rPr>
      </w:pPr>
      <w:bookmarkStart w:id="38" w:name="_Toc7512"/>
      <w:bookmarkStart w:id="39" w:name="_Toc19742"/>
      <w:r>
        <w:rPr>
          <w:rFonts w:hint="eastAsia" w:ascii="黑体" w:hAnsi="黑体" w:eastAsia="黑体" w:cs="黑体"/>
          <w:sz w:val="32"/>
          <w:szCs w:val="32"/>
          <w:lang w:val="en-US" w:eastAsia="zh-CN"/>
        </w:rPr>
        <w:t>四、</w:t>
      </w:r>
      <w:bookmarkEnd w:id="38"/>
      <w:bookmarkEnd w:id="39"/>
      <w:bookmarkStart w:id="40" w:name="_Toc1044"/>
      <w:bookmarkStart w:id="41" w:name="_Toc2840"/>
      <w:r>
        <w:rPr>
          <w:rFonts w:hint="eastAsia" w:ascii="黑体" w:hAnsi="黑体" w:eastAsia="黑体" w:cs="黑体"/>
          <w:sz w:val="32"/>
          <w:szCs w:val="32"/>
        </w:rPr>
        <w:t>存在的问题</w:t>
      </w:r>
      <w:r>
        <w:rPr>
          <w:rFonts w:hint="eastAsia" w:ascii="黑体" w:hAnsi="黑体" w:eastAsia="黑体" w:cs="黑体"/>
          <w:sz w:val="32"/>
          <w:szCs w:val="32"/>
          <w:lang w:val="en-US" w:eastAsia="zh-CN"/>
        </w:rPr>
        <w:t>及原因分析</w:t>
      </w:r>
    </w:p>
    <w:p w14:paraId="1E85380F">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（一）项目组织管理不到位，造成工期延误，项目产出数量、质量、时效、成本指标均存在不足</w:t>
      </w:r>
    </w:p>
    <w:p w14:paraId="4057D4B2">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项目组织管理中存在不足，未能按期完成建设任务，造成项目产出数量、质量、时效、成本指标均存在不足。工程于2023年6月8日开工，开工后受雨季施工等影响，且工程施工需与部分医疗设备（如伽马刀、高压氧仓等）同步安装，施工进度晚于计划进度。</w:t>
      </w:r>
    </w:p>
    <w:p w14:paraId="392B6AF3">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（二）未按照全过程绩效管理的要求进行过程绩效监控</w:t>
      </w:r>
    </w:p>
    <w:p w14:paraId="48CE029F">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据财政部《关于贯彻落实&lt;中共中央国务院关于全面实施预算绩效管理的意见&gt;的通知》（财预〔2018〕167号）要求，绩效管理要覆盖所有财政资金，延伸到基层单位和资金使用终端，确保不留死角。推动绩效管理覆盖“四本预算”，并根据不同预算资金的性质和特点统筹实施。加快对政府投资基金、主权财富基金、政府和社会资本合作（PPP）、政府购买服务、政府债务项目等各项政府投融资活动实施绩效管理，实现全过程跟踪问效。积极推动绩效管理实施对象从政策和项目预算向部门和单位预算、政府预算拓展，稳步提升预算绩效管理层级，逐步增强整体性和协调性。建立绩效跟踪机制，进行过程绩效监控。该项目已实施事前绩效评价，未能建立过程绩效监控体系。</w:t>
      </w:r>
    </w:p>
    <w:p w14:paraId="623B47E5">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（三）专项债券管理存在不足，未纳入预算管理，未能按期支付利息</w:t>
      </w:r>
    </w:p>
    <w:p w14:paraId="5BB6AEF8">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次评价，未能获取到专项债券收支、还本付息和专项收入纳入政府性基金预算管理，且按照专门设置的预算收支科目单独核算和全面管理的相关资料，专项债券预算管理不规范。因专项债券本息偿还需在陕西省财政厅非税收入财政云系统缴纳，目前该系统尚未正式运营，项目单位未能偿还2023年9月、2024年3月利息。</w:t>
      </w:r>
    </w:p>
    <w:p w14:paraId="3D459A3D">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有关建议</w:t>
      </w:r>
      <w:bookmarkEnd w:id="40"/>
      <w:bookmarkEnd w:id="41"/>
    </w:p>
    <w:p w14:paraId="70759BEA">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Hans"/>
        </w:rPr>
      </w:pPr>
      <w:r>
        <w:rPr>
          <w:rFonts w:hint="eastAsia" w:ascii="楷体_GB2312" w:hAnsi="楷体_GB2312" w:eastAsia="楷体_GB2312" w:cs="楷体_GB2312"/>
          <w:sz w:val="32"/>
          <w:szCs w:val="32"/>
          <w:lang w:val="en-US" w:eastAsia="zh-CN"/>
        </w:rPr>
        <w:t>（一）加快施工进度，抓好工程质量，确保项目早日建成并投入使用</w:t>
      </w:r>
    </w:p>
    <w:p w14:paraId="253B6275">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Times New Roman" w:hAnsi="Times New Roman" w:eastAsia="仿宋_GB2312" w:cs="仿宋_GB2312"/>
          <w:sz w:val="32"/>
          <w:szCs w:val="32"/>
          <w:lang w:val="en-US" w:eastAsia="zh-Hans"/>
        </w:rPr>
      </w:pPr>
      <w:r>
        <w:rPr>
          <w:rFonts w:hint="eastAsia" w:ascii="Times New Roman" w:hAnsi="Times New Roman" w:eastAsia="仿宋_GB2312" w:cs="仿宋_GB2312"/>
          <w:sz w:val="32"/>
          <w:szCs w:val="32"/>
          <w:lang w:val="en-US" w:eastAsia="zh-CN"/>
        </w:rPr>
        <w:t>项目相关各方</w:t>
      </w:r>
      <w:r>
        <w:rPr>
          <w:rFonts w:hint="eastAsia" w:ascii="Times New Roman" w:hAnsi="Times New Roman" w:eastAsia="仿宋_GB2312" w:cs="仿宋_GB2312"/>
          <w:sz w:val="32"/>
          <w:szCs w:val="32"/>
          <w:lang w:val="en-US" w:eastAsia="zh-Hans"/>
        </w:rPr>
        <w:t>要加强协作配合，加快工程建设进度，科学合理安排施工，在加快</w:t>
      </w:r>
      <w:r>
        <w:rPr>
          <w:rFonts w:hint="eastAsia" w:ascii="Times New Roman" w:hAnsi="Times New Roman" w:eastAsia="仿宋_GB2312" w:cs="仿宋_GB2312"/>
          <w:sz w:val="32"/>
          <w:szCs w:val="32"/>
          <w:lang w:val="en-US" w:eastAsia="zh-CN"/>
        </w:rPr>
        <w:t>土建工程</w:t>
      </w:r>
      <w:r>
        <w:rPr>
          <w:rFonts w:hint="eastAsia" w:ascii="Times New Roman" w:hAnsi="Times New Roman" w:eastAsia="仿宋_GB2312" w:cs="仿宋_GB2312"/>
          <w:sz w:val="32"/>
          <w:szCs w:val="32"/>
          <w:lang w:val="en-US" w:eastAsia="zh-Hans"/>
        </w:rPr>
        <w:t>建设的同时，同步推进</w:t>
      </w:r>
      <w:r>
        <w:rPr>
          <w:rFonts w:hint="eastAsia" w:ascii="Times New Roman" w:hAnsi="Times New Roman" w:eastAsia="仿宋_GB2312" w:cs="仿宋_GB2312"/>
          <w:sz w:val="32"/>
          <w:szCs w:val="32"/>
          <w:lang w:val="en-US" w:eastAsia="zh-CN"/>
        </w:rPr>
        <w:t>设备及智能化系统采购安装</w:t>
      </w:r>
      <w:r>
        <w:rPr>
          <w:rFonts w:hint="eastAsia" w:ascii="Times New Roman" w:hAnsi="Times New Roman" w:eastAsia="仿宋_GB2312" w:cs="仿宋_GB2312"/>
          <w:sz w:val="32"/>
          <w:szCs w:val="32"/>
          <w:lang w:val="en-US" w:eastAsia="zh-Hans"/>
        </w:rPr>
        <w:t>，要注重工程质量，严格施工标准，确保项目</w:t>
      </w:r>
      <w:r>
        <w:rPr>
          <w:rFonts w:hint="eastAsia" w:ascii="Times New Roman" w:hAnsi="Times New Roman" w:eastAsia="仿宋_GB2312" w:cs="仿宋_GB2312"/>
          <w:sz w:val="32"/>
          <w:szCs w:val="32"/>
          <w:lang w:val="en-US" w:eastAsia="zh-CN"/>
        </w:rPr>
        <w:t>尽早</w:t>
      </w:r>
      <w:r>
        <w:rPr>
          <w:rFonts w:hint="eastAsia" w:ascii="Times New Roman" w:hAnsi="Times New Roman" w:eastAsia="仿宋_GB2312" w:cs="仿宋_GB2312"/>
          <w:sz w:val="32"/>
          <w:szCs w:val="32"/>
          <w:lang w:val="en-US" w:eastAsia="zh-Hans"/>
        </w:rPr>
        <w:t>建成投入使用。</w:t>
      </w:r>
    </w:p>
    <w:p w14:paraId="14F9BA3D">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Times New Roman" w:hAnsi="Times New Roman" w:eastAsia="仿宋_GB2312" w:cs="仿宋_GB2312"/>
          <w:sz w:val="32"/>
          <w:szCs w:val="32"/>
          <w:lang w:val="en-US" w:eastAsia="zh-Hans"/>
        </w:rPr>
      </w:pPr>
      <w:r>
        <w:rPr>
          <w:rFonts w:hint="eastAsia" w:ascii="Times New Roman" w:hAnsi="Times New Roman" w:eastAsia="仿宋_GB2312" w:cs="仿宋_GB2312"/>
          <w:sz w:val="32"/>
          <w:szCs w:val="32"/>
          <w:lang w:val="en-US" w:eastAsia="zh-Hans"/>
        </w:rPr>
        <w:t>项目完成后，项目单位应尽快进行工程竣工决算，主管部门要加强项目验收工作，并对项目完成情况、完成质量进行考核与评估，不断提高项目管理水平，保障项目建设达到预期效果。如项目总投资超过批复概算10%以上的，应按照规定的审批程序进行变更审批。</w:t>
      </w:r>
    </w:p>
    <w:p w14:paraId="55F8CCA0">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（二）按照全过程绩效管理的要求，加强过程绩效监控</w:t>
      </w:r>
    </w:p>
    <w:p w14:paraId="1BC1EAE8">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建议各相关单位，严格按照中、省、市、县各级主管部门要求，</w:t>
      </w:r>
      <w:r>
        <w:rPr>
          <w:rFonts w:hint="eastAsia" w:ascii="Times New Roman" w:hAnsi="Times New Roman" w:eastAsia="仿宋_GB2312" w:cs="仿宋_GB2312"/>
          <w:sz w:val="32"/>
          <w:szCs w:val="32"/>
          <w:lang w:val="en-US" w:eastAsia="zh-Hans"/>
        </w:rPr>
        <w:t>按照“谁支出、谁负责”的原则，完善用款计划管理，对绩效目标实现程度和预算执行进度实行“双监控”，发现问题要分析原因并及时纠正</w:t>
      </w:r>
      <w:r>
        <w:rPr>
          <w:rFonts w:hint="eastAsia" w:ascii="Times New Roman" w:hAnsi="Times New Roman" w:eastAsia="仿宋_GB2312" w:cs="仿宋_GB2312"/>
          <w:sz w:val="32"/>
          <w:szCs w:val="32"/>
          <w:lang w:val="en-US" w:eastAsia="zh-CN"/>
        </w:rPr>
        <w:t>。</w:t>
      </w:r>
    </w:p>
    <w:p w14:paraId="7212EFAD">
      <w:pPr>
        <w:keepNext w:val="0"/>
        <w:keepLines w:val="0"/>
        <w:pageBreakBefore w:val="0"/>
        <w:widowControl w:val="0"/>
        <w:kinsoku/>
        <w:wordWrap/>
        <w:overflowPunct/>
        <w:topLinePunct w:val="0"/>
        <w:autoSpaceDE/>
        <w:autoSpaceDN/>
        <w:bidi w:val="0"/>
        <w:adjustRightInd/>
        <w:snapToGrid/>
        <w:spacing w:line="554" w:lineRule="exact"/>
        <w:ind w:firstLine="640"/>
        <w:textAlignment w:val="auto"/>
        <w:rPr>
          <w:rFonts w:hint="eastAsia" w:ascii="楷体_GB2312" w:hAnsi="楷体_GB2312" w:eastAsia="楷体_GB2312" w:cs="楷体_GB2312"/>
          <w:sz w:val="32"/>
          <w:szCs w:val="32"/>
          <w:lang w:val="en-US" w:eastAsia="zh-Hans"/>
        </w:rPr>
      </w:pPr>
      <w:r>
        <w:rPr>
          <w:rFonts w:hint="eastAsia" w:ascii="楷体_GB2312" w:hAnsi="楷体_GB2312" w:eastAsia="楷体_GB2312" w:cs="楷体_GB2312"/>
          <w:sz w:val="32"/>
          <w:szCs w:val="32"/>
          <w:lang w:val="en-US" w:eastAsia="zh-CN"/>
        </w:rPr>
        <w:t>（三）加强专项债券预算管理，确保项目按时还本付息</w:t>
      </w:r>
    </w:p>
    <w:p w14:paraId="2ABA42B7">
      <w:pPr>
        <w:pStyle w:val="10"/>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财政部门应加强对专项债券的预算管理工作，专项债券收支、还本付息和专项收入应纳入政府性基金预算管理；主管部门、项目实施单位应确保项目运行过程中按时还本付息、收支平衡。项目完成后要建立完善的可持续发展机制，以促进项目实施效果的长效化。要强化项目实施效果与需求的跟踪、调查，促进安全生产工作的可持续性，主管部门要加强对项目建设情况的延续性管理，及时对项目运行效果和需求进行调查与评估，并不断优化实施方案。</w:t>
      </w:r>
    </w:p>
    <w:p w14:paraId="0C942309">
      <w:pPr>
        <w:pStyle w:val="10"/>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val="en-US" w:eastAsia="zh-CN"/>
        </w:rPr>
      </w:pPr>
    </w:p>
    <w:p w14:paraId="5F64BDC5">
      <w:pPr>
        <w:pStyle w:val="10"/>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val="en-US" w:eastAsia="zh-CN"/>
        </w:rPr>
      </w:pPr>
    </w:p>
    <w:p w14:paraId="621E2456">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391535D"/>
    <w:rsid w:val="07C2760B"/>
    <w:rsid w:val="09F9539C"/>
    <w:rsid w:val="0AB77FE5"/>
    <w:rsid w:val="0B640F3B"/>
    <w:rsid w:val="0C6C454B"/>
    <w:rsid w:val="105772C0"/>
    <w:rsid w:val="10BF16E5"/>
    <w:rsid w:val="11905D1D"/>
    <w:rsid w:val="154047C7"/>
    <w:rsid w:val="1F824A45"/>
    <w:rsid w:val="20184D9A"/>
    <w:rsid w:val="213571AA"/>
    <w:rsid w:val="21724A7F"/>
    <w:rsid w:val="22780674"/>
    <w:rsid w:val="24BC729A"/>
    <w:rsid w:val="29B54D92"/>
    <w:rsid w:val="2B414161"/>
    <w:rsid w:val="2C222F5F"/>
    <w:rsid w:val="2CCE155D"/>
    <w:rsid w:val="2D93073E"/>
    <w:rsid w:val="2DC600DF"/>
    <w:rsid w:val="30BA449D"/>
    <w:rsid w:val="37400225"/>
    <w:rsid w:val="38D40BFF"/>
    <w:rsid w:val="399159E4"/>
    <w:rsid w:val="3A2A1F0A"/>
    <w:rsid w:val="3A2E6291"/>
    <w:rsid w:val="3A431D67"/>
    <w:rsid w:val="3B4C6936"/>
    <w:rsid w:val="464E69E7"/>
    <w:rsid w:val="4C70768E"/>
    <w:rsid w:val="4CDB4C2D"/>
    <w:rsid w:val="539A64F3"/>
    <w:rsid w:val="546F4F3A"/>
    <w:rsid w:val="54AB56D0"/>
    <w:rsid w:val="56384F6E"/>
    <w:rsid w:val="56E50F87"/>
    <w:rsid w:val="5CCF0EB8"/>
    <w:rsid w:val="5D3D68F2"/>
    <w:rsid w:val="5F4A1C98"/>
    <w:rsid w:val="629C16CB"/>
    <w:rsid w:val="63534F55"/>
    <w:rsid w:val="669464C0"/>
    <w:rsid w:val="6742110E"/>
    <w:rsid w:val="68DB4B78"/>
    <w:rsid w:val="69CC3C94"/>
    <w:rsid w:val="6CB35324"/>
    <w:rsid w:val="6D1E1BAB"/>
    <w:rsid w:val="6D6C2159"/>
    <w:rsid w:val="6EA83B27"/>
    <w:rsid w:val="6F42262A"/>
    <w:rsid w:val="70851AD8"/>
    <w:rsid w:val="70A03AAD"/>
    <w:rsid w:val="722D465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19163</Words>
  <Characters>20279</Characters>
  <Lines>0</Lines>
  <Paragraphs>0</Paragraphs>
  <TotalTime>16</TotalTime>
  <ScaleCrop>false</ScaleCrop>
  <LinksUpToDate>false</LinksUpToDate>
  <CharactersWithSpaces>20279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2024-11-08T03:05:15Z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