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0B38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西乡县幼儿园扩建项目</w:t>
      </w:r>
    </w:p>
    <w:p w14:paraId="03FCB0E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绩效评价报告</w:t>
      </w:r>
    </w:p>
    <w:p w14:paraId="0B486D88">
      <w:pPr>
        <w:keepNext w:val="0"/>
        <w:keepLines w:val="0"/>
        <w:pageBreakBefore w:val="0"/>
        <w:widowControl w:val="0"/>
        <w:kinsoku/>
        <w:wordWrap/>
        <w:overflowPunct/>
        <w:topLinePunct w:val="0"/>
        <w:autoSpaceDE/>
        <w:autoSpaceDN/>
        <w:bidi w:val="0"/>
        <w:adjustRightInd/>
        <w:snapToGrid/>
        <w:spacing w:line="300" w:lineRule="exact"/>
        <w:ind w:firstLine="641"/>
        <w:textAlignment w:val="auto"/>
        <w:outlineLvl w:val="0"/>
        <w:rPr>
          <w:rFonts w:hint="eastAsia" w:ascii="Times New Roman" w:hAnsi="Times New Roman" w:eastAsia="黑体"/>
          <w:sz w:val="32"/>
          <w:szCs w:val="32"/>
        </w:rPr>
      </w:pPr>
      <w:bookmarkStart w:id="0" w:name="_Toc2852"/>
      <w:bookmarkStart w:id="1" w:name="_Toc23268"/>
      <w:bookmarkStart w:id="2" w:name="_Toc17831"/>
      <w:bookmarkStart w:id="3" w:name="_Toc10302"/>
    </w:p>
    <w:p w14:paraId="658FFCAA">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0"/>
        <w:rPr>
          <w:rFonts w:hint="default" w:ascii="Times New Roman" w:hAnsi="Times New Roman" w:eastAsia="黑体"/>
          <w:sz w:val="32"/>
          <w:szCs w:val="32"/>
          <w:lang w:val="en-US" w:eastAsia="zh-CN"/>
        </w:rPr>
      </w:pPr>
      <w:r>
        <w:rPr>
          <w:rFonts w:hint="eastAsia" w:ascii="Times New Roman" w:hAnsi="Times New Roman" w:eastAsia="黑体"/>
          <w:sz w:val="32"/>
          <w:szCs w:val="32"/>
        </w:rPr>
        <w:t>一、</w:t>
      </w:r>
      <w:bookmarkEnd w:id="0"/>
      <w:r>
        <w:rPr>
          <w:rFonts w:hint="eastAsia" w:ascii="Times New Roman" w:hAnsi="Times New Roman" w:eastAsia="黑体"/>
          <w:sz w:val="32"/>
          <w:szCs w:val="32"/>
          <w:lang w:val="en-US" w:eastAsia="zh-CN"/>
        </w:rPr>
        <w:t>基本情况</w:t>
      </w:r>
      <w:bookmarkEnd w:id="1"/>
      <w:bookmarkEnd w:id="2"/>
      <w:bookmarkEnd w:id="3"/>
    </w:p>
    <w:p w14:paraId="4763BEE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highlight w:val="none"/>
        </w:rPr>
        <w:t>西乡县幼儿园现有三级17个教学班，在园幼儿792人，现有建筑面积约3060㎡，占地面积约5340㎡，生均用地面积约6.7㎡，根据城市规划要求，滨河路将要拓宽，县幼儿园的操场要向北退让15</w:t>
      </w:r>
      <w:r>
        <w:rPr>
          <w:rFonts w:hint="eastAsia" w:ascii="Times New Roman" w:hAnsi="Times New Roman" w:eastAsia="仿宋_GB2312" w:cs="仿宋_GB2312"/>
          <w:sz w:val="32"/>
          <w:szCs w:val="32"/>
          <w:highlight w:val="none"/>
          <w:lang w:val="en-US" w:eastAsia="zh-CN"/>
        </w:rPr>
        <w:t>m</w:t>
      </w:r>
      <w:r>
        <w:rPr>
          <w:rFonts w:hint="eastAsia" w:ascii="Times New Roman" w:hAnsi="Times New Roman" w:eastAsia="仿宋_GB2312" w:cs="仿宋_GB2312"/>
          <w:sz w:val="32"/>
          <w:szCs w:val="32"/>
          <w:highlight w:val="none"/>
        </w:rPr>
        <w:t>，退让面积约4504㎡，退让后幼儿园用地面积仅为836㎡，远远不能满</w:t>
      </w:r>
      <w:r>
        <w:rPr>
          <w:rFonts w:hint="eastAsia" w:ascii="Times New Roman" w:hAnsi="Times New Roman" w:eastAsia="仿宋_GB2312" w:cs="仿宋_GB2312"/>
          <w:sz w:val="32"/>
          <w:szCs w:val="32"/>
        </w:rPr>
        <w:t>足使用要求，严重影响了正常保教工作的开展，制约了幼儿园的发展</w:t>
      </w:r>
      <w:r>
        <w:rPr>
          <w:rFonts w:hint="eastAsia" w:ascii="Times New Roman" w:hAnsi="Times New Roman" w:eastAsia="仿宋_GB2312" w:cs="仿宋_GB2312"/>
          <w:sz w:val="32"/>
          <w:szCs w:val="32"/>
          <w:lang w:eastAsia="zh-CN"/>
        </w:rPr>
        <w:t>。</w:t>
      </w:r>
    </w:p>
    <w:p w14:paraId="12AE0BB4">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根据2020年12月</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西乡县发展和改革局关于西乡县幼儿园扩建项目可行性研究报告的批复</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（西发改综合〔2020〕446号）和《西乡县发展和改革局关于西乡县幼儿园扩建项目初步设计</w:t>
      </w:r>
      <w:r>
        <w:rPr>
          <w:rFonts w:hint="eastAsia" w:ascii="Times New Roman" w:hAnsi="Times New Roman" w:eastAsia="仿宋_GB2312" w:cs="仿宋_GB2312"/>
          <w:sz w:val="32"/>
          <w:szCs w:val="32"/>
          <w:highlight w:val="none"/>
          <w:lang w:val="en-US" w:eastAsia="zh-CN"/>
        </w:rPr>
        <w:t>的</w:t>
      </w:r>
      <w:r>
        <w:rPr>
          <w:rFonts w:hint="eastAsia" w:ascii="Times New Roman" w:hAnsi="Times New Roman" w:eastAsia="仿宋_GB2312" w:cs="仿宋_GB2312"/>
          <w:sz w:val="32"/>
          <w:szCs w:val="32"/>
          <w:highlight w:val="none"/>
        </w:rPr>
        <w:t>批复》（西发改综合〔2020〕448号）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同意实施该项目，项目建设地址位于西乡县幼儿园西南侧，具体实施内容如下：</w:t>
      </w:r>
    </w:p>
    <w:p w14:paraId="2DBB8C65">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该项目总建筑面积4673.51㎡，其中：教学用房1875.85㎡，业务办公用房768.94㎡，餐厅用房300.42㎡，辅助用房</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含楼梯走道</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1728.30㎡。室外配套附属设施建设。</w:t>
      </w:r>
    </w:p>
    <w:p w14:paraId="2AC1F83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rPr>
      </w:pPr>
      <w:bookmarkStart w:id="4" w:name="_Toc225"/>
      <w:bookmarkStart w:id="5" w:name="_Toc10039"/>
      <w:bookmarkStart w:id="6" w:name="_Toc349"/>
      <w:bookmarkStart w:id="7" w:name="_Toc26170"/>
      <w:r>
        <w:rPr>
          <w:rFonts w:hint="eastAsia" w:ascii="黑体" w:hAnsi="黑体" w:eastAsia="黑体" w:cs="黑体"/>
          <w:sz w:val="32"/>
          <w:szCs w:val="32"/>
        </w:rPr>
        <w:t>二、</w:t>
      </w:r>
      <w:bookmarkEnd w:id="4"/>
      <w:r>
        <w:rPr>
          <w:rFonts w:hint="eastAsia" w:ascii="黑体" w:hAnsi="黑体" w:eastAsia="黑体" w:cs="黑体"/>
          <w:sz w:val="32"/>
          <w:szCs w:val="32"/>
        </w:rPr>
        <w:t>综合评价结论</w:t>
      </w:r>
      <w:bookmarkEnd w:id="5"/>
      <w:bookmarkEnd w:id="6"/>
      <w:bookmarkEnd w:id="7"/>
    </w:p>
    <w:p w14:paraId="783E0E4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rPr>
      </w:pPr>
      <w:bookmarkStart w:id="8" w:name="_Toc23452"/>
      <w:bookmarkStart w:id="9" w:name="_Toc1137"/>
      <w:bookmarkStart w:id="10" w:name="_Toc29938"/>
      <w:bookmarkStart w:id="11" w:name="_Toc3305"/>
      <w:r>
        <w:rPr>
          <w:rFonts w:hint="eastAsia" w:ascii="楷体_GB2312" w:hAnsi="楷体_GB2312" w:eastAsia="楷体_GB2312" w:cs="楷体_GB2312"/>
          <w:sz w:val="32"/>
          <w:szCs w:val="32"/>
        </w:rPr>
        <w:t>（一）评价结论</w:t>
      </w:r>
      <w:bookmarkEnd w:id="8"/>
      <w:bookmarkEnd w:id="9"/>
      <w:bookmarkEnd w:id="10"/>
      <w:bookmarkEnd w:id="11"/>
    </w:p>
    <w:p w14:paraId="2D59FA3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按照</w:t>
      </w:r>
      <w:r>
        <w:rPr>
          <w:rFonts w:hint="eastAsia" w:ascii="Times New Roman" w:hAnsi="Times New Roman" w:eastAsia="仿宋_GB2312" w:cs="仿宋_GB2312"/>
          <w:sz w:val="32"/>
          <w:szCs w:val="32"/>
          <w:highlight w:val="none"/>
          <w:lang w:val="en-US" w:eastAsia="zh-CN"/>
        </w:rPr>
        <w:t>本次绩效评价</w:t>
      </w:r>
      <w:r>
        <w:rPr>
          <w:rFonts w:hint="eastAsia" w:ascii="Times New Roman" w:hAnsi="Times New Roman" w:eastAsia="仿宋_GB2312" w:cs="仿宋_GB2312"/>
          <w:sz w:val="32"/>
          <w:szCs w:val="32"/>
          <w:highlight w:val="none"/>
        </w:rPr>
        <w:t>确定的指标体系及评价标准，</w:t>
      </w:r>
      <w:r>
        <w:rPr>
          <w:rFonts w:hint="eastAsia" w:ascii="Times New Roman" w:hAnsi="Times New Roman" w:eastAsia="仿宋_GB2312" w:cs="仿宋_GB2312"/>
          <w:sz w:val="32"/>
          <w:szCs w:val="32"/>
          <w:highlight w:val="none"/>
          <w:lang w:val="en-US" w:eastAsia="zh-CN"/>
        </w:rPr>
        <w:t>通过对“西乡县幼儿园扩建项目”各项指标完成情况进行客观分析，最终评分结果：90.50分，绩效评级为“优”</w:t>
      </w:r>
      <w:r>
        <w:rPr>
          <w:rFonts w:hint="eastAsia" w:ascii="Times New Roman" w:hAnsi="Times New Roman" w:eastAsia="仿宋_GB2312" w:cs="仿宋_GB2312"/>
          <w:sz w:val="32"/>
          <w:szCs w:val="32"/>
          <w:highlight w:val="none"/>
        </w:rPr>
        <w:t>。</w:t>
      </w:r>
      <w:bookmarkStart w:id="12" w:name="_Toc14806"/>
    </w:p>
    <w:p w14:paraId="6799425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仿宋_GB2312" w:cs="仿宋_GB2312"/>
          <w:b/>
          <w:bCs/>
          <w:sz w:val="24"/>
          <w:szCs w:val="24"/>
        </w:rPr>
      </w:pPr>
      <w:r>
        <w:rPr>
          <w:rFonts w:hint="eastAsia" w:ascii="仿宋" w:hAnsi="仿宋" w:eastAsia="仿宋" w:cs="仿宋"/>
          <w:b/>
          <w:bCs/>
          <w:sz w:val="24"/>
          <w:szCs w:val="24"/>
          <w:lang w:eastAsia="zh-CN"/>
        </w:rPr>
        <w:t>西乡县幼儿园扩建项目</w:t>
      </w:r>
      <w:r>
        <w:rPr>
          <w:rFonts w:hint="eastAsia" w:ascii="仿宋" w:hAnsi="仿宋" w:eastAsia="仿宋" w:cs="仿宋"/>
          <w:b/>
          <w:bCs/>
          <w:sz w:val="24"/>
          <w:szCs w:val="24"/>
        </w:rPr>
        <w:t>指标评分表</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1"/>
        <w:gridCol w:w="2211"/>
        <w:gridCol w:w="2211"/>
        <w:gridCol w:w="2227"/>
      </w:tblGrid>
      <w:tr w14:paraId="2DB3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blHeader/>
          <w:jc w:val="center"/>
        </w:trPr>
        <w:tc>
          <w:tcPr>
            <w:tcW w:w="1248" w:type="pct"/>
            <w:shd w:val="clear" w:color="auto" w:fill="auto"/>
            <w:tcMar>
              <w:top w:w="10" w:type="dxa"/>
              <w:left w:w="10" w:type="dxa"/>
              <w:right w:w="10" w:type="dxa"/>
            </w:tcMar>
            <w:vAlign w:val="center"/>
          </w:tcPr>
          <w:p w14:paraId="0ECD2DE9">
            <w:pPr>
              <w:keepNext w:val="0"/>
              <w:keepLines w:val="0"/>
              <w:pageBreakBefore w:val="0"/>
              <w:kinsoku/>
              <w:wordWrap/>
              <w:overflowPunct/>
              <w:topLinePunct w:val="0"/>
              <w:autoSpaceDE/>
              <w:autoSpaceDN/>
              <w:bidi w:val="0"/>
              <w:adjustRightInd/>
              <w:snapToGrid/>
              <w:spacing w:line="578" w:lineRule="exact"/>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一级指标</w:t>
            </w:r>
          </w:p>
        </w:tc>
        <w:tc>
          <w:tcPr>
            <w:tcW w:w="1248" w:type="pct"/>
            <w:shd w:val="clear" w:color="auto" w:fill="auto"/>
            <w:tcMar>
              <w:top w:w="10" w:type="dxa"/>
              <w:left w:w="10" w:type="dxa"/>
              <w:right w:w="10" w:type="dxa"/>
            </w:tcMar>
            <w:vAlign w:val="center"/>
          </w:tcPr>
          <w:p w14:paraId="57C32FF4">
            <w:pPr>
              <w:keepNext w:val="0"/>
              <w:keepLines w:val="0"/>
              <w:pageBreakBefore w:val="0"/>
              <w:kinsoku/>
              <w:wordWrap/>
              <w:overflowPunct/>
              <w:topLinePunct w:val="0"/>
              <w:autoSpaceDE/>
              <w:autoSpaceDN/>
              <w:bidi w:val="0"/>
              <w:adjustRightInd/>
              <w:snapToGrid/>
              <w:spacing w:line="578"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分值</w:t>
            </w:r>
          </w:p>
        </w:tc>
        <w:tc>
          <w:tcPr>
            <w:tcW w:w="1248" w:type="pct"/>
            <w:shd w:val="clear" w:color="auto" w:fill="auto"/>
            <w:tcMar>
              <w:top w:w="10" w:type="dxa"/>
              <w:left w:w="10" w:type="dxa"/>
              <w:right w:w="10" w:type="dxa"/>
            </w:tcMar>
            <w:vAlign w:val="center"/>
          </w:tcPr>
          <w:p w14:paraId="7192CD42">
            <w:pPr>
              <w:keepNext w:val="0"/>
              <w:keepLines w:val="0"/>
              <w:pageBreakBefore w:val="0"/>
              <w:kinsoku/>
              <w:wordWrap/>
              <w:overflowPunct/>
              <w:topLinePunct w:val="0"/>
              <w:autoSpaceDE/>
              <w:autoSpaceDN/>
              <w:bidi w:val="0"/>
              <w:adjustRightInd/>
              <w:snapToGrid/>
              <w:spacing w:line="578" w:lineRule="exact"/>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得分</w:t>
            </w:r>
          </w:p>
        </w:tc>
        <w:tc>
          <w:tcPr>
            <w:tcW w:w="1253" w:type="pct"/>
            <w:shd w:val="clear" w:color="auto" w:fill="auto"/>
            <w:tcMar>
              <w:top w:w="10" w:type="dxa"/>
              <w:left w:w="10" w:type="dxa"/>
              <w:right w:w="10" w:type="dxa"/>
            </w:tcMar>
            <w:vAlign w:val="center"/>
          </w:tcPr>
          <w:p w14:paraId="3A0EEA54">
            <w:pPr>
              <w:keepNext w:val="0"/>
              <w:keepLines w:val="0"/>
              <w:pageBreakBefore w:val="0"/>
              <w:kinsoku/>
              <w:wordWrap/>
              <w:overflowPunct/>
              <w:topLinePunct w:val="0"/>
              <w:autoSpaceDE/>
              <w:autoSpaceDN/>
              <w:bidi w:val="0"/>
              <w:adjustRightInd/>
              <w:snapToGrid/>
              <w:spacing w:line="578" w:lineRule="exact"/>
              <w:ind w:left="0" w:leftChars="0" w:firstLine="0" w:firstLine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得分率</w:t>
            </w:r>
          </w:p>
        </w:tc>
      </w:tr>
      <w:tr w14:paraId="676C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pct"/>
            <w:shd w:val="clear" w:color="auto" w:fill="auto"/>
            <w:tcMar>
              <w:top w:w="10" w:type="dxa"/>
              <w:left w:w="10" w:type="dxa"/>
              <w:right w:w="10" w:type="dxa"/>
            </w:tcMar>
            <w:vAlign w:val="center"/>
          </w:tcPr>
          <w:p w14:paraId="6561B7E7">
            <w:pPr>
              <w:keepNext w:val="0"/>
              <w:keepLines w:val="0"/>
              <w:pageBreakBefore w:val="0"/>
              <w:kinsoku/>
              <w:wordWrap/>
              <w:overflowPunct/>
              <w:topLinePunct w:val="0"/>
              <w:autoSpaceDE/>
              <w:autoSpaceDN/>
              <w:bidi w:val="0"/>
              <w:adjustRightInd/>
              <w:snapToGrid/>
              <w:spacing w:line="578"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决策</w:t>
            </w:r>
          </w:p>
        </w:tc>
        <w:tc>
          <w:tcPr>
            <w:tcW w:w="1248" w:type="pct"/>
            <w:shd w:val="clear" w:color="auto" w:fill="auto"/>
            <w:tcMar>
              <w:top w:w="10" w:type="dxa"/>
              <w:left w:w="10" w:type="dxa"/>
              <w:right w:w="10" w:type="dxa"/>
            </w:tcMar>
            <w:vAlign w:val="center"/>
          </w:tcPr>
          <w:p w14:paraId="0211FFC4">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1</w:t>
            </w:r>
            <w:r>
              <w:rPr>
                <w:rFonts w:hint="default" w:ascii="Times New Roman" w:hAnsi="Times New Roman" w:eastAsia="仿宋" w:cs="Times New Roman"/>
                <w:sz w:val="24"/>
                <w:szCs w:val="24"/>
                <w:highlight w:val="none"/>
                <w:lang w:val="en-US" w:eastAsia="zh-CN"/>
              </w:rPr>
              <w:t>5</w:t>
            </w:r>
          </w:p>
        </w:tc>
        <w:tc>
          <w:tcPr>
            <w:tcW w:w="1248" w:type="pct"/>
            <w:shd w:val="clear" w:color="auto" w:fill="auto"/>
            <w:tcMar>
              <w:top w:w="10" w:type="dxa"/>
              <w:left w:w="10" w:type="dxa"/>
              <w:right w:w="10" w:type="dxa"/>
            </w:tcMar>
            <w:vAlign w:val="center"/>
          </w:tcPr>
          <w:p w14:paraId="0122C959">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11.52</w:t>
            </w:r>
          </w:p>
        </w:tc>
        <w:tc>
          <w:tcPr>
            <w:tcW w:w="1253" w:type="pct"/>
            <w:shd w:val="clear" w:color="auto" w:fill="auto"/>
            <w:tcMar>
              <w:top w:w="10" w:type="dxa"/>
              <w:left w:w="10" w:type="dxa"/>
              <w:right w:w="10" w:type="dxa"/>
            </w:tcMar>
            <w:vAlign w:val="center"/>
          </w:tcPr>
          <w:p w14:paraId="45516457">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76.80%</w:t>
            </w:r>
          </w:p>
        </w:tc>
      </w:tr>
      <w:tr w14:paraId="3840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pct"/>
            <w:shd w:val="clear" w:color="auto" w:fill="auto"/>
            <w:tcMar>
              <w:top w:w="10" w:type="dxa"/>
              <w:left w:w="10" w:type="dxa"/>
              <w:right w:w="10" w:type="dxa"/>
            </w:tcMar>
            <w:vAlign w:val="center"/>
          </w:tcPr>
          <w:p w14:paraId="4B4B5931">
            <w:pPr>
              <w:keepNext w:val="0"/>
              <w:keepLines w:val="0"/>
              <w:pageBreakBefore w:val="0"/>
              <w:kinsoku/>
              <w:wordWrap/>
              <w:overflowPunct/>
              <w:topLinePunct w:val="0"/>
              <w:autoSpaceDE/>
              <w:autoSpaceDN/>
              <w:bidi w:val="0"/>
              <w:adjustRightInd/>
              <w:snapToGrid/>
              <w:spacing w:line="578"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过程</w:t>
            </w:r>
          </w:p>
        </w:tc>
        <w:tc>
          <w:tcPr>
            <w:tcW w:w="1248" w:type="pct"/>
            <w:shd w:val="clear" w:color="auto" w:fill="auto"/>
            <w:tcMar>
              <w:top w:w="10" w:type="dxa"/>
              <w:left w:w="10" w:type="dxa"/>
              <w:right w:w="10" w:type="dxa"/>
            </w:tcMar>
            <w:vAlign w:val="center"/>
          </w:tcPr>
          <w:p w14:paraId="30469842">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20</w:t>
            </w:r>
          </w:p>
        </w:tc>
        <w:tc>
          <w:tcPr>
            <w:tcW w:w="1248" w:type="pct"/>
            <w:shd w:val="clear" w:color="auto" w:fill="auto"/>
            <w:tcMar>
              <w:top w:w="10" w:type="dxa"/>
              <w:left w:w="10" w:type="dxa"/>
              <w:right w:w="10" w:type="dxa"/>
            </w:tcMar>
            <w:vAlign w:val="center"/>
          </w:tcPr>
          <w:p w14:paraId="093EF0DF">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16.48</w:t>
            </w:r>
          </w:p>
        </w:tc>
        <w:tc>
          <w:tcPr>
            <w:tcW w:w="1253" w:type="pct"/>
            <w:shd w:val="clear" w:color="auto" w:fill="auto"/>
            <w:tcMar>
              <w:top w:w="10" w:type="dxa"/>
              <w:left w:w="10" w:type="dxa"/>
              <w:right w:w="10" w:type="dxa"/>
            </w:tcMar>
            <w:vAlign w:val="center"/>
          </w:tcPr>
          <w:p w14:paraId="561C4FF8">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82.40</w:t>
            </w: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13D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pct"/>
            <w:shd w:val="clear" w:color="auto" w:fill="auto"/>
            <w:tcMar>
              <w:top w:w="10" w:type="dxa"/>
              <w:left w:w="10" w:type="dxa"/>
              <w:right w:w="10" w:type="dxa"/>
            </w:tcMar>
            <w:vAlign w:val="center"/>
          </w:tcPr>
          <w:p w14:paraId="0DBB6C08">
            <w:pPr>
              <w:keepNext w:val="0"/>
              <w:keepLines w:val="0"/>
              <w:pageBreakBefore w:val="0"/>
              <w:kinsoku/>
              <w:wordWrap/>
              <w:overflowPunct/>
              <w:topLinePunct w:val="0"/>
              <w:autoSpaceDE/>
              <w:autoSpaceDN/>
              <w:bidi w:val="0"/>
              <w:adjustRightInd/>
              <w:snapToGrid/>
              <w:spacing w:line="578"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产出</w:t>
            </w:r>
          </w:p>
        </w:tc>
        <w:tc>
          <w:tcPr>
            <w:tcW w:w="1248" w:type="pct"/>
            <w:shd w:val="clear" w:color="auto" w:fill="auto"/>
            <w:tcMar>
              <w:top w:w="10" w:type="dxa"/>
              <w:left w:w="10" w:type="dxa"/>
              <w:right w:w="10" w:type="dxa"/>
            </w:tcMar>
            <w:vAlign w:val="center"/>
          </w:tcPr>
          <w:p w14:paraId="5243AA8A">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40</w:t>
            </w:r>
          </w:p>
        </w:tc>
        <w:tc>
          <w:tcPr>
            <w:tcW w:w="1248" w:type="pct"/>
            <w:shd w:val="clear" w:color="auto" w:fill="auto"/>
            <w:tcMar>
              <w:top w:w="10" w:type="dxa"/>
              <w:left w:w="10" w:type="dxa"/>
              <w:right w:w="10" w:type="dxa"/>
            </w:tcMar>
            <w:vAlign w:val="center"/>
          </w:tcPr>
          <w:p w14:paraId="2A4786CC">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r>
              <w:rPr>
                <w:rFonts w:hint="eastAsia" w:ascii="Times New Roman" w:hAnsi="Times New Roman" w:eastAsia="仿宋" w:cs="Times New Roman"/>
                <w:sz w:val="24"/>
                <w:szCs w:val="24"/>
                <w:highlight w:val="none"/>
                <w:lang w:val="en-US" w:eastAsia="zh-CN"/>
              </w:rPr>
              <w:t>7</w:t>
            </w:r>
            <w:r>
              <w:rPr>
                <w:rFonts w:hint="default" w:ascii="Times New Roman" w:hAnsi="Times New Roman" w:eastAsia="仿宋" w:cs="Times New Roman"/>
                <w:sz w:val="24"/>
                <w:szCs w:val="24"/>
                <w:highlight w:val="none"/>
                <w:lang w:val="en-US" w:eastAsia="zh-CN"/>
              </w:rPr>
              <w:t>.50</w:t>
            </w:r>
          </w:p>
        </w:tc>
        <w:tc>
          <w:tcPr>
            <w:tcW w:w="1253" w:type="pct"/>
            <w:shd w:val="clear" w:color="auto" w:fill="auto"/>
            <w:tcMar>
              <w:top w:w="10" w:type="dxa"/>
              <w:left w:w="10" w:type="dxa"/>
              <w:right w:w="10" w:type="dxa"/>
            </w:tcMar>
            <w:vAlign w:val="center"/>
          </w:tcPr>
          <w:p w14:paraId="7F0056A2">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93.75</w:t>
            </w: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1C5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pct"/>
            <w:shd w:val="clear" w:color="auto" w:fill="auto"/>
            <w:tcMar>
              <w:top w:w="10" w:type="dxa"/>
              <w:left w:w="10" w:type="dxa"/>
              <w:right w:w="10" w:type="dxa"/>
            </w:tcMar>
            <w:vAlign w:val="center"/>
          </w:tcPr>
          <w:p w14:paraId="616AD3DF">
            <w:pPr>
              <w:keepNext w:val="0"/>
              <w:keepLines w:val="0"/>
              <w:pageBreakBefore w:val="0"/>
              <w:kinsoku/>
              <w:wordWrap/>
              <w:overflowPunct/>
              <w:topLinePunct w:val="0"/>
              <w:autoSpaceDE/>
              <w:autoSpaceDN/>
              <w:bidi w:val="0"/>
              <w:adjustRightInd/>
              <w:snapToGrid/>
              <w:spacing w:line="578"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效益</w:t>
            </w:r>
          </w:p>
        </w:tc>
        <w:tc>
          <w:tcPr>
            <w:tcW w:w="1248" w:type="pct"/>
            <w:shd w:val="clear" w:color="auto" w:fill="auto"/>
            <w:tcMar>
              <w:top w:w="10" w:type="dxa"/>
              <w:left w:w="10" w:type="dxa"/>
              <w:right w:w="10" w:type="dxa"/>
            </w:tcMar>
            <w:vAlign w:val="center"/>
          </w:tcPr>
          <w:p w14:paraId="3EA52EA4">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25</w:t>
            </w:r>
          </w:p>
        </w:tc>
        <w:tc>
          <w:tcPr>
            <w:tcW w:w="1248" w:type="pct"/>
            <w:shd w:val="clear" w:color="auto" w:fill="auto"/>
            <w:tcMar>
              <w:top w:w="10" w:type="dxa"/>
              <w:left w:w="10" w:type="dxa"/>
              <w:right w:w="10" w:type="dxa"/>
            </w:tcMar>
            <w:vAlign w:val="center"/>
          </w:tcPr>
          <w:p w14:paraId="2C405651">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25</w:t>
            </w:r>
          </w:p>
        </w:tc>
        <w:tc>
          <w:tcPr>
            <w:tcW w:w="2141" w:type="dxa"/>
            <w:shd w:val="clear" w:color="auto" w:fill="auto"/>
            <w:tcMar>
              <w:top w:w="10" w:type="dxa"/>
              <w:left w:w="10" w:type="dxa"/>
              <w:right w:w="10" w:type="dxa"/>
            </w:tcMar>
            <w:vAlign w:val="center"/>
          </w:tcPr>
          <w:p w14:paraId="4AFB412D">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r w14:paraId="3954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pct"/>
            <w:shd w:val="clear" w:color="auto" w:fill="auto"/>
            <w:tcMar>
              <w:top w:w="10" w:type="dxa"/>
              <w:left w:w="10" w:type="dxa"/>
              <w:right w:w="10" w:type="dxa"/>
            </w:tcMar>
            <w:vAlign w:val="center"/>
          </w:tcPr>
          <w:p w14:paraId="48BF1235">
            <w:pPr>
              <w:keepNext w:val="0"/>
              <w:keepLines w:val="0"/>
              <w:pageBreakBefore w:val="0"/>
              <w:kinsoku/>
              <w:wordWrap/>
              <w:overflowPunct/>
              <w:topLinePunct w:val="0"/>
              <w:autoSpaceDE/>
              <w:autoSpaceDN/>
              <w:bidi w:val="0"/>
              <w:adjustRightInd/>
              <w:snapToGrid/>
              <w:spacing w:line="578"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合计</w:t>
            </w:r>
          </w:p>
        </w:tc>
        <w:tc>
          <w:tcPr>
            <w:tcW w:w="1248" w:type="pct"/>
            <w:shd w:val="clear" w:color="auto" w:fill="auto"/>
            <w:tcMar>
              <w:top w:w="10" w:type="dxa"/>
              <w:left w:w="10" w:type="dxa"/>
              <w:right w:w="10" w:type="dxa"/>
            </w:tcMar>
            <w:vAlign w:val="center"/>
          </w:tcPr>
          <w:p w14:paraId="35A2560C">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100</w:t>
            </w:r>
          </w:p>
        </w:tc>
        <w:tc>
          <w:tcPr>
            <w:tcW w:w="1248" w:type="pct"/>
            <w:shd w:val="clear" w:color="auto" w:fill="auto"/>
            <w:tcMar>
              <w:top w:w="10" w:type="dxa"/>
              <w:left w:w="10" w:type="dxa"/>
              <w:right w:w="10" w:type="dxa"/>
            </w:tcMar>
            <w:vAlign w:val="center"/>
          </w:tcPr>
          <w:p w14:paraId="3F9150BF">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90.50</w:t>
            </w:r>
          </w:p>
        </w:tc>
        <w:tc>
          <w:tcPr>
            <w:tcW w:w="2141" w:type="dxa"/>
            <w:shd w:val="clear" w:color="auto" w:fill="auto"/>
            <w:tcMar>
              <w:top w:w="10" w:type="dxa"/>
              <w:left w:w="10" w:type="dxa"/>
              <w:right w:w="10" w:type="dxa"/>
            </w:tcMar>
            <w:vAlign w:val="center"/>
          </w:tcPr>
          <w:p w14:paraId="286DF45C">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90.50</w:t>
            </w: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5A5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000" w:type="pct"/>
            <w:gridSpan w:val="4"/>
            <w:shd w:val="clear" w:color="auto" w:fill="auto"/>
            <w:tcMar>
              <w:top w:w="10" w:type="dxa"/>
              <w:left w:w="10" w:type="dxa"/>
              <w:right w:w="10" w:type="dxa"/>
            </w:tcMar>
            <w:vAlign w:val="center"/>
          </w:tcPr>
          <w:p w14:paraId="6818982C">
            <w:pPr>
              <w:keepNext w:val="0"/>
              <w:keepLines w:val="0"/>
              <w:pageBreakBefore w:val="0"/>
              <w:kinsoku/>
              <w:wordWrap/>
              <w:overflowPunct/>
              <w:topLinePunct w:val="0"/>
              <w:autoSpaceDE/>
              <w:autoSpaceDN/>
              <w:bidi w:val="0"/>
              <w:adjustRightInd/>
              <w:snapToGrid/>
              <w:spacing w:line="578" w:lineRule="exact"/>
              <w:jc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绩效评价得分：</w:t>
            </w:r>
            <w:r>
              <w:rPr>
                <w:rFonts w:hint="eastAsia" w:ascii="Times New Roman" w:hAnsi="Times New Roman" w:eastAsia="仿宋" w:cs="Times New Roman"/>
                <w:b/>
                <w:bCs/>
                <w:sz w:val="24"/>
                <w:szCs w:val="24"/>
                <w:highlight w:val="none"/>
                <w:lang w:val="en-US" w:eastAsia="zh-CN"/>
              </w:rPr>
              <w:t>90.5</w:t>
            </w:r>
            <w:r>
              <w:rPr>
                <w:rFonts w:hint="eastAsia" w:ascii="仿宋" w:hAnsi="仿宋" w:eastAsia="仿宋" w:cs="仿宋"/>
                <w:b/>
                <w:bCs/>
                <w:sz w:val="24"/>
                <w:szCs w:val="24"/>
                <w:highlight w:val="none"/>
                <w:lang w:val="en-US" w:eastAsia="zh-CN"/>
              </w:rPr>
              <w:t>分综合评价结果等级：优</w:t>
            </w:r>
          </w:p>
        </w:tc>
      </w:tr>
    </w:tbl>
    <w:p w14:paraId="4E65921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rPr>
      </w:pPr>
      <w:bookmarkStart w:id="13" w:name="_Toc3814"/>
      <w:bookmarkStart w:id="14" w:name="_Toc11108"/>
      <w:bookmarkStart w:id="15" w:name="_Toc12891"/>
      <w:r>
        <w:rPr>
          <w:rFonts w:hint="eastAsia" w:ascii="楷体_GB2312" w:hAnsi="楷体_GB2312" w:eastAsia="楷体_GB2312" w:cs="楷体_GB2312"/>
          <w:sz w:val="32"/>
          <w:szCs w:val="32"/>
        </w:rPr>
        <w:t>（二）预算执行情况</w:t>
      </w:r>
      <w:bookmarkEnd w:id="12"/>
      <w:bookmarkEnd w:id="13"/>
      <w:bookmarkEnd w:id="14"/>
      <w:bookmarkEnd w:id="15"/>
    </w:p>
    <w:p w14:paraId="52B54CF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根据</w:t>
      </w:r>
      <w:r>
        <w:rPr>
          <w:rFonts w:hint="eastAsia" w:ascii="Times New Roman" w:hAnsi="Times New Roman" w:eastAsia="仿宋_GB2312" w:cs="仿宋_GB2312"/>
          <w:sz w:val="32"/>
          <w:szCs w:val="32"/>
          <w:highlight w:val="none"/>
        </w:rPr>
        <w:t>《西乡县发展和改革局关于西乡县幼儿园扩建项目初步设计</w:t>
      </w:r>
      <w:r>
        <w:rPr>
          <w:rFonts w:hint="eastAsia" w:ascii="Times New Roman" w:hAnsi="Times New Roman" w:eastAsia="仿宋_GB2312" w:cs="仿宋_GB2312"/>
          <w:sz w:val="32"/>
          <w:szCs w:val="32"/>
          <w:highlight w:val="none"/>
          <w:lang w:val="en-US" w:eastAsia="zh-CN"/>
        </w:rPr>
        <w:t>的</w:t>
      </w:r>
      <w:r>
        <w:rPr>
          <w:rFonts w:hint="eastAsia" w:ascii="Times New Roman" w:hAnsi="Times New Roman" w:eastAsia="仿宋_GB2312" w:cs="仿宋_GB2312"/>
          <w:sz w:val="32"/>
          <w:szCs w:val="32"/>
          <w:highlight w:val="none"/>
        </w:rPr>
        <w:t>批复》（西发改综合〔2020〕448</w:t>
      </w:r>
      <w:r>
        <w:rPr>
          <w:rFonts w:hint="eastAsia" w:ascii="Times New Roman" w:hAnsi="Times New Roman" w:eastAsia="仿宋_GB2312" w:cs="仿宋_GB2312"/>
          <w:sz w:val="32"/>
          <w:szCs w:val="32"/>
          <w:highlight w:val="none"/>
          <w:lang w:val="en-US" w:eastAsia="zh-CN"/>
        </w:rPr>
        <w:t>号）文件，概算总投资2,006.09万元，截止评价日，预算下达资金1,688万元，项目实际支出金额为1,378.69万元，预算执行率为81.68%。</w:t>
      </w:r>
    </w:p>
    <w:p w14:paraId="71E2322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rPr>
      </w:pPr>
      <w:bookmarkStart w:id="16" w:name="_Toc15113"/>
      <w:bookmarkStart w:id="17" w:name="_Toc5317"/>
      <w:bookmarkStart w:id="18" w:name="_Toc9694"/>
      <w:bookmarkStart w:id="19" w:name="_Toc19992"/>
      <w:r>
        <w:rPr>
          <w:rFonts w:hint="eastAsia" w:ascii="楷体_GB2312" w:hAnsi="楷体_GB2312" w:eastAsia="楷体_GB2312" w:cs="楷体_GB2312"/>
          <w:sz w:val="32"/>
          <w:szCs w:val="32"/>
        </w:rPr>
        <w:t>（三）项目实施及绩效情况</w:t>
      </w:r>
      <w:bookmarkEnd w:id="16"/>
      <w:bookmarkEnd w:id="17"/>
      <w:bookmarkEnd w:id="18"/>
      <w:bookmarkEnd w:id="19"/>
    </w:p>
    <w:p w14:paraId="4BAB7749">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截至评价日，“西乡县幼儿园扩建项目”已完成建设内容，根据监理公司科兴华盛河北工程项目管理咨询有限公司陕西分公司出具的《竣工验收质量评估报告》，结合该项目完成情况，确定该工程质量等级为合格。该项目于2023年3月24日，通过了西乡县建筑工程质量安全监督站的质量监督报告核查，符合要求，准予备案。但延期完成建设任务，竣工决算工作进展缓慢，未按期支付工程款项，造成项目产出时效、成本指标存在不足。</w:t>
      </w:r>
    </w:p>
    <w:p w14:paraId="2803543A">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lang w:val="en-US" w:eastAsia="zh-CN"/>
        </w:rPr>
      </w:pPr>
      <w:bookmarkStart w:id="20" w:name="_Toc10667"/>
      <w:r>
        <w:rPr>
          <w:rFonts w:hint="eastAsia" w:ascii="黑体" w:hAnsi="黑体" w:eastAsia="黑体" w:cs="黑体"/>
          <w:sz w:val="32"/>
          <w:szCs w:val="32"/>
          <w:lang w:val="en-US" w:eastAsia="zh-CN"/>
        </w:rPr>
        <w:t>三、主要经验、业绩</w:t>
      </w:r>
      <w:bookmarkEnd w:id="20"/>
    </w:p>
    <w:p w14:paraId="76A59678">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楷体_GB2312" w:hAnsi="楷体_GB2312" w:eastAsia="楷体_GB2312" w:cs="楷体_GB2312"/>
          <w:sz w:val="32"/>
          <w:szCs w:val="32"/>
          <w:lang w:val="en-US" w:eastAsia="zh-CN"/>
        </w:rPr>
        <w:t>（一）满足了辖区内市民的需求，有效缓解城区就学入园难的问题。</w:t>
      </w:r>
      <w:r>
        <w:rPr>
          <w:rFonts w:hint="eastAsia" w:ascii="Times New Roman" w:hAnsi="Times New Roman" w:eastAsia="仿宋_GB2312" w:cs="仿宋_GB2312"/>
          <w:sz w:val="32"/>
          <w:szCs w:val="32"/>
          <w:highlight w:val="none"/>
          <w:lang w:val="en-US" w:eastAsia="zh-CN"/>
        </w:rPr>
        <w:t>随着城市化的加速，人口的不断增长使得原有幼儿园的教学资源面临着格外大的压力，因此，适度的改扩建才能更好地服务社会。</w:t>
      </w:r>
    </w:p>
    <w:p w14:paraId="3C71F7C9">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（二）改善了幼儿园办园条件，也有效提升了幼儿园的保教质量。</w:t>
      </w:r>
      <w:r>
        <w:rPr>
          <w:rFonts w:hint="eastAsia" w:ascii="Times New Roman" w:hAnsi="Times New Roman" w:eastAsia="仿宋_GB2312" w:cs="仿宋_GB2312"/>
          <w:sz w:val="32"/>
          <w:szCs w:val="32"/>
          <w:highlight w:val="none"/>
          <w:lang w:val="en-US" w:eastAsia="zh-CN"/>
        </w:rPr>
        <w:t>幼儿园作为孩子们第一次接触集体生活和教育的地方，其位置和环境的好坏和配套设施的优劣，直接关系到幼儿的身心健康、成长和学习质量。项目建成后增加的功能教室，为幼儿提供了较多可探索的事物，在园幼儿的知识、技能、品德修养等方面能得到明显的进步和发展。</w:t>
      </w:r>
    </w:p>
    <w:p w14:paraId="4FD73D3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（三）推进队伍素质提升，锻造“和谐”保教队伍。</w:t>
      </w:r>
      <w:r>
        <w:rPr>
          <w:rFonts w:hint="eastAsia" w:ascii="Times New Roman" w:hAnsi="Times New Roman" w:eastAsia="仿宋_GB2312" w:cs="仿宋_GB2312"/>
          <w:sz w:val="32"/>
          <w:szCs w:val="32"/>
          <w:highlight w:val="none"/>
          <w:lang w:val="en-US" w:eastAsia="zh-CN"/>
        </w:rPr>
        <w:t>深入开展校园管理“六个一”活动。开展廉政党课、道德讲堂、校园安全、法治宣讲、心理健康等专题培训，培育教师用“求真乐学，以爱育美”的优良作风，践行懂孩子、爱孩子的初心，教孩子、育孩子的使命。2023年西乡县幼儿园成功创建为陕西省示范幼儿园，被评为市级幼儿园建设先进集体。</w:t>
      </w:r>
    </w:p>
    <w:p w14:paraId="4F6D0A70">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lang w:val="en-US" w:eastAsia="zh-CN"/>
        </w:rPr>
      </w:pPr>
      <w:bookmarkStart w:id="21" w:name="_Toc7832"/>
      <w:bookmarkStart w:id="22" w:name="_Toc30971"/>
      <w:bookmarkStart w:id="23" w:name="_Toc24482"/>
      <w:bookmarkStart w:id="24" w:name="_Toc24963"/>
      <w:r>
        <w:rPr>
          <w:rFonts w:hint="eastAsia" w:ascii="黑体" w:hAnsi="黑体" w:eastAsia="黑体" w:cs="黑体"/>
          <w:sz w:val="32"/>
          <w:szCs w:val="32"/>
          <w:lang w:val="en-US" w:eastAsia="zh-CN"/>
        </w:rPr>
        <w:t>四、存在的问题</w:t>
      </w:r>
      <w:bookmarkEnd w:id="21"/>
      <w:bookmarkEnd w:id="22"/>
      <w:bookmarkEnd w:id="23"/>
      <w:bookmarkEnd w:id="24"/>
    </w:p>
    <w:p w14:paraId="38795E0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（一）项目绩效目标审核、前期绩效评估、实施过程绩效监控、实施结束后绩效自评等绩效管理工作程序不完善</w:t>
      </w:r>
    </w:p>
    <w:p w14:paraId="121EBED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本次评价过程中，发现该项目实施单位未能按照《西乡县财政局关于印发&lt;西乡县全面实施预算绩效管理实施细则&gt;的通知》中的相关规定，对绩效目标进行规范管理</w:t>
      </w:r>
      <w:r>
        <w:rPr>
          <w:rFonts w:hint="eastAsia" w:ascii="Times New Roman" w:hAnsi="Times New Roman" w:eastAsia="仿宋_GB2312" w:cs="仿宋_GB2312"/>
          <w:sz w:val="32"/>
          <w:szCs w:val="32"/>
          <w:lang w:val="en-US" w:eastAsia="zh-CN"/>
        </w:rPr>
        <w:t>。</w:t>
      </w:r>
    </w:p>
    <w:p w14:paraId="48450E0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val="en-US" w:eastAsia="zh-CN"/>
        </w:rPr>
      </w:pPr>
      <w:bookmarkStart w:id="25" w:name="_Toc16225"/>
      <w:bookmarkStart w:id="26" w:name="_Toc11551"/>
      <w:bookmarkStart w:id="27" w:name="_Toc7931"/>
      <w:r>
        <w:rPr>
          <w:rFonts w:hint="eastAsia" w:ascii="楷体_GB2312" w:hAnsi="楷体_GB2312" w:eastAsia="楷体_GB2312" w:cs="楷体_GB2312"/>
          <w:sz w:val="32"/>
          <w:szCs w:val="32"/>
          <w:lang w:val="en-US" w:eastAsia="zh-CN"/>
        </w:rPr>
        <w:t>（二）绩效目标编制不合理</w:t>
      </w:r>
    </w:p>
    <w:p w14:paraId="4F860BF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1.绩效目标表编制存在问题。该项目绩效目标表未以项目整体编制绩效目标，而是根据预算下达资金分两次分别编制绩效目标表，且各次指标设置及指标值存在差异。</w:t>
      </w:r>
    </w:p>
    <w:p w14:paraId="120596B0">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2.该项目提供的绩效目标申报表中效益和产出目标设置较笼统，未能根据年度绩效目标进行任务分解和细化，项目考核指标与实际工作内容关联性不足。</w:t>
      </w:r>
    </w:p>
    <w:p w14:paraId="015E695E">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（三）绩效目标及绩效指标填报不完整</w:t>
      </w:r>
    </w:p>
    <w:p w14:paraId="75AE38EF">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该项目绩效目标及绩效指标填报不完整；绩效目标设置过于笼统，三级指标设置过于简单、细化量化不足、指标及指标值未能充分体现项目的主要任务；质量指标中“资金到位率”不属于该指标范围。时效指标指标值设置为错误代码；成本指标中“改善办园条件，扩建项目主体施工”不属于该指标范围，应为施工总成本及单位成本；项目预期产出无经济效益指标和生态效益指标，社会效益指标未量化、难衡量</w:t>
      </w:r>
      <w:r>
        <w:rPr>
          <w:rFonts w:hint="eastAsia" w:ascii="Times New Roman" w:hAnsi="Times New Roman" w:eastAsia="仿宋_GB2312" w:cs="仿宋_GB2312"/>
          <w:sz w:val="32"/>
          <w:szCs w:val="32"/>
          <w:lang w:val="en-US" w:eastAsia="zh-CN"/>
        </w:rPr>
        <w:t>。</w:t>
      </w:r>
    </w:p>
    <w:p w14:paraId="21484DB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（四）</w:t>
      </w:r>
      <w:r>
        <w:rPr>
          <w:rFonts w:hint="eastAsia" w:ascii="楷体_GB2312" w:hAnsi="楷体_GB2312" w:eastAsia="楷体_GB2312" w:cs="楷体_GB2312"/>
          <w:sz w:val="32"/>
          <w:szCs w:val="32"/>
          <w:lang w:val="en-US" w:eastAsia="zh-CN"/>
        </w:rPr>
        <w:t>资金到位率及预算执行率不足</w:t>
      </w:r>
    </w:p>
    <w:p w14:paraId="685C6FC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预算下达计划1,688.00万元，实际到位资金1,370.00万元，资金到位率81.16%。实际支出金额为1,378.69万元，预算执行率为81.68%。</w:t>
      </w:r>
    </w:p>
    <w:p w14:paraId="6596C1A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（五）</w:t>
      </w:r>
      <w:r>
        <w:rPr>
          <w:rFonts w:hint="eastAsia" w:ascii="楷体_GB2312" w:hAnsi="楷体_GB2312" w:eastAsia="楷体_GB2312" w:cs="楷体_GB2312"/>
          <w:sz w:val="32"/>
          <w:szCs w:val="32"/>
          <w:lang w:val="en-US" w:eastAsia="zh-CN"/>
        </w:rPr>
        <w:t>项目组织管理不到位，造成工期延误</w:t>
      </w:r>
    </w:p>
    <w:p w14:paraId="039000B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超工期225天，未按期完成建设任务。结算及竣工决算工作进展缓慢，未按期支付工程款项。</w:t>
      </w:r>
    </w:p>
    <w:p w14:paraId="6838E63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bookmarkStart w:id="28" w:name="_Toc28549"/>
      <w:r>
        <w:rPr>
          <w:rFonts w:hint="eastAsia" w:ascii="楷体_GB2312" w:hAnsi="楷体_GB2312" w:eastAsia="楷体_GB2312" w:cs="楷体_GB2312"/>
          <w:kern w:val="2"/>
          <w:sz w:val="32"/>
          <w:szCs w:val="32"/>
          <w:lang w:val="en-US" w:eastAsia="zh-CN" w:bidi="ar-SA"/>
        </w:rPr>
        <w:t>（六）</w:t>
      </w:r>
      <w:r>
        <w:rPr>
          <w:rFonts w:hint="eastAsia" w:ascii="楷体_GB2312" w:hAnsi="楷体_GB2312" w:eastAsia="楷体_GB2312" w:cs="楷体_GB2312"/>
          <w:sz w:val="32"/>
          <w:szCs w:val="32"/>
          <w:lang w:val="en-US" w:eastAsia="zh-CN"/>
        </w:rPr>
        <w:t>制度执行有效性存在不足</w:t>
      </w:r>
      <w:bookmarkEnd w:id="28"/>
      <w:bookmarkStart w:id="29" w:name="_Toc7061"/>
    </w:p>
    <w:p w14:paraId="3F589207">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未上报县级主管部门进行综合验收。项目实施结束，建设单位、施工单位、设计单位及监理单位只进行了初级自验，自验合格后未及时向项目主管部门申请县级验收。</w:t>
      </w:r>
    </w:p>
    <w:p w14:paraId="5EAEE7B9">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五、有关建议</w:t>
      </w:r>
      <w:bookmarkEnd w:id="25"/>
      <w:bookmarkEnd w:id="26"/>
      <w:bookmarkEnd w:id="27"/>
      <w:bookmarkEnd w:id="29"/>
    </w:p>
    <w:p w14:paraId="22E7A774">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val="en-US" w:eastAsia="zh-CN"/>
        </w:rPr>
      </w:pPr>
      <w:bookmarkStart w:id="30" w:name="_Toc28942"/>
      <w:r>
        <w:rPr>
          <w:rFonts w:hint="eastAsia" w:ascii="楷体_GB2312" w:hAnsi="楷体_GB2312" w:eastAsia="楷体_GB2312" w:cs="楷体_GB2312"/>
          <w:sz w:val="32"/>
          <w:szCs w:val="32"/>
          <w:lang w:val="en-US" w:eastAsia="zh-CN"/>
        </w:rPr>
        <w:t>（一）按照全过程绩效管理的要求，加强过程绩效监控</w:t>
      </w:r>
      <w:bookmarkEnd w:id="30"/>
      <w:bookmarkStart w:id="31" w:name="_Toc9001"/>
      <w:bookmarkStart w:id="32" w:name="_Toc8185"/>
      <w:bookmarkStart w:id="33" w:name="_Toc28864"/>
      <w:bookmarkStart w:id="34" w:name="_Toc32496"/>
    </w:p>
    <w:p w14:paraId="587564E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建议各相关单位，严格按照中、省、市、县各级主管部门要求，按照“谁支出、谁负责”的原则，完善用款计划管理，对绩效目标实现程度和预算执行进度实行“双监控”，发现问题要分析原因并及时纠正。</w:t>
      </w:r>
      <w:bookmarkEnd w:id="31"/>
      <w:bookmarkEnd w:id="32"/>
      <w:bookmarkEnd w:id="33"/>
      <w:bookmarkEnd w:id="34"/>
    </w:p>
    <w:p w14:paraId="7077310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lang w:val="en-US" w:eastAsia="zh-CN"/>
        </w:rPr>
        <w:t>按照绩效目标管理的要求，加强管理</w:t>
      </w:r>
    </w:p>
    <w:p w14:paraId="5DE47B77">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建议各相关单位，按照“谁申请资金，谁编制目标”的原则，绩效目标由县级部门及其所属单位按照规定的方法、程序，科学合理编制。绩效目标是预算安排的重要依据，未按要求编制绩效目标的，不得申请预算资金，不得纳入项目库管理。严格按照《西乡县财政局关于印发&lt;县级部门预算绩效目标管理暂行办法&gt;的通知》执行。</w:t>
      </w:r>
    </w:p>
    <w:p w14:paraId="6A6D9849">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78" w:lineRule="exact"/>
        <w:ind w:firstLine="643"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提高项目管理水平，加快项目支付进度</w:t>
      </w:r>
    </w:p>
    <w:p w14:paraId="1095984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建议项目单位应多方面筹集资金，尽快支付工程款项，并预留质量保证金。主管部门要加强项目验收工作，并对项目完成情况、完成质量进行考核与评估，提高项目管理水平，保障项目建设达到预期效果。该项目总投资已超过批复概算，今后应杜绝工程投资超过概算的现象再发生</w:t>
      </w:r>
      <w:r>
        <w:rPr>
          <w:rFonts w:hint="eastAsia" w:ascii="Times New Roman" w:hAnsi="Times New Roman" w:eastAsia="仿宋_GB2312" w:cs="仿宋_GB2312"/>
          <w:sz w:val="32"/>
          <w:szCs w:val="32"/>
          <w:lang w:val="en-US" w:eastAsia="zh-CN"/>
        </w:rPr>
        <w:t>。</w:t>
      </w:r>
    </w:p>
    <w:p w14:paraId="6386753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（四）加强后续资产管理，发挥项目效益</w:t>
      </w:r>
    </w:p>
    <w:p w14:paraId="2D61A388">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建议项目单位尽快完善资产产权手续，积极落实项目建成后资产管理与日常维护，建立完善可持续发展机制，以促进项目实施效果的长效化。</w:t>
      </w:r>
      <w:bookmarkStart w:id="35" w:name="_Toc45181608"/>
    </w:p>
    <w:bookmarkEnd w:id="35"/>
    <w:p w14:paraId="47430F0A">
      <w:pPr>
        <w:pStyle w:val="10"/>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52ACE714">
      <w:pPr>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67A2AEB8">
      <w:pPr>
        <w:pStyle w:val="10"/>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6DEB3AA8">
      <w:pPr>
        <w:pStyle w:val="10"/>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5367C498">
      <w:pPr>
        <w:pStyle w:val="10"/>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632C679B">
      <w:pPr>
        <w:pStyle w:val="10"/>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13D71053">
      <w:pPr>
        <w:pStyle w:val="10"/>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59C65C05">
      <w:pPr>
        <w:pStyle w:val="10"/>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501BAAA6">
      <w:pPr>
        <w:pStyle w:val="10"/>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1ADA76E4">
      <w:pPr>
        <w:pStyle w:val="10"/>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55D2BAAA">
      <w:pPr>
        <w:pStyle w:val="10"/>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13D36E0F">
      <w:pPr>
        <w:pStyle w:val="10"/>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52A70897">
      <w:pPr>
        <w:pStyle w:val="10"/>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621E2456">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仿宋_GB2312"/>
          <w:snapToGrid/>
          <w:kern w:val="2"/>
          <w:sz w:val="32"/>
          <w:szCs w:val="32"/>
          <w:lang w:val="en-US" w:eastAsia="zh-CN" w:bidi="ar-SA"/>
        </w:rPr>
      </w:pPr>
      <w:bookmarkStart w:id="36" w:name="_GoBack"/>
      <w:bookmarkEnd w:id="36"/>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B7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MmRmYTA5NGU0NDQ0ZTlkMzRlNWJlNTFlZWI4MDUifQ=="/>
  </w:docVars>
  <w:rsids>
    <w:rsidRoot w:val="00000000"/>
    <w:rsid w:val="0391535D"/>
    <w:rsid w:val="07C2760B"/>
    <w:rsid w:val="09F9539C"/>
    <w:rsid w:val="0AB77FE5"/>
    <w:rsid w:val="0B640F3B"/>
    <w:rsid w:val="0C6C454B"/>
    <w:rsid w:val="105772C0"/>
    <w:rsid w:val="10BF16E5"/>
    <w:rsid w:val="11905D1D"/>
    <w:rsid w:val="154047C7"/>
    <w:rsid w:val="1F824A45"/>
    <w:rsid w:val="20184D9A"/>
    <w:rsid w:val="213571AA"/>
    <w:rsid w:val="21724A7F"/>
    <w:rsid w:val="22780674"/>
    <w:rsid w:val="24BC729A"/>
    <w:rsid w:val="2B414161"/>
    <w:rsid w:val="2C222F5F"/>
    <w:rsid w:val="2CCE155D"/>
    <w:rsid w:val="2D93073E"/>
    <w:rsid w:val="2DC600DF"/>
    <w:rsid w:val="30BA449D"/>
    <w:rsid w:val="37400225"/>
    <w:rsid w:val="38D40BFF"/>
    <w:rsid w:val="399159E4"/>
    <w:rsid w:val="3A2A1F0A"/>
    <w:rsid w:val="3A2E6291"/>
    <w:rsid w:val="3A431D67"/>
    <w:rsid w:val="464E69E7"/>
    <w:rsid w:val="4C70768E"/>
    <w:rsid w:val="539A64F3"/>
    <w:rsid w:val="546F4F3A"/>
    <w:rsid w:val="54AB56D0"/>
    <w:rsid w:val="56384F6E"/>
    <w:rsid w:val="56E50F87"/>
    <w:rsid w:val="5CCF0EB8"/>
    <w:rsid w:val="5D3D68F2"/>
    <w:rsid w:val="5F4A1C98"/>
    <w:rsid w:val="629C16CB"/>
    <w:rsid w:val="63534F55"/>
    <w:rsid w:val="669464C0"/>
    <w:rsid w:val="6742110E"/>
    <w:rsid w:val="68DB4B78"/>
    <w:rsid w:val="69CC3C94"/>
    <w:rsid w:val="6D1E1BAB"/>
    <w:rsid w:val="6D6C2159"/>
    <w:rsid w:val="6EA83B27"/>
    <w:rsid w:val="6F42262A"/>
    <w:rsid w:val="70A03AAD"/>
    <w:rsid w:val="722D465F"/>
    <w:rsid w:val="7964193F"/>
    <w:rsid w:val="7CC52305"/>
    <w:rsid w:val="7FE1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next w:val="1"/>
    <w:qFormat/>
    <w:uiPriority w:val="0"/>
    <w:pPr>
      <w:spacing w:after="120"/>
      <w:ind w:leftChars="200" w:firstLine="420" w:firstLineChars="200"/>
    </w:pPr>
  </w:style>
  <w:style w:type="paragraph" w:customStyle="1" w:styleId="10">
    <w:name w:val="样式 首行缩进:  2 字符"/>
    <w:basedOn w:val="1"/>
    <w:autoRedefine/>
    <w:qFormat/>
    <w:uiPriority w:val="0"/>
    <w:pPr>
      <w:ind w:firstLine="560" w:firstLineChars="200"/>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12942</Words>
  <Characters>13995</Characters>
  <Lines>0</Lines>
  <Paragraphs>0</Paragraphs>
  <TotalTime>16</TotalTime>
  <ScaleCrop>false</ScaleCrop>
  <LinksUpToDate>false</LinksUpToDate>
  <CharactersWithSpaces>13995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2024-10-05T08:23:00Z</dcterms:created>
  <dc:creator>Lenovo</dc:creator>
  <cp:lastModifiedBy>exquisite</cp:lastModifiedBy>
  <cp:lastPrinted>2024-11-01T00:31:00Z</cp:lastPrinted>
  <dcterms:modified xsi:type="dcterms:W3CDTF">2024-11-08T02:56:08Z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5E2B1A7A82DF4C1DA81A5AC94AD8F98D_12</vt:lpwstr>
  </property>
</Properties>
</file>