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E757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简体" w:cs="方正小标宋简体"/>
          <w:sz w:val="44"/>
          <w:szCs w:val="44"/>
          <w:lang w:val="en-US" w:eastAsia="zh-CN"/>
        </w:rPr>
      </w:pPr>
      <w:bookmarkStart w:id="109" w:name="_GoBack"/>
      <w:r>
        <w:rPr>
          <w:rFonts w:hint="eastAsia" w:ascii="Times New Roman" w:hAnsi="Times New Roman" w:eastAsia="方正小标宋简体" w:cs="方正小标宋简体"/>
          <w:sz w:val="44"/>
          <w:szCs w:val="44"/>
          <w:lang w:val="en-US" w:eastAsia="zh-CN"/>
        </w:rPr>
        <w:t>西乡县循环经济产业园区“基础设施综合配套服务中心建设”项目绩效评价报告</w:t>
      </w:r>
    </w:p>
    <w:bookmarkEnd w:id="109"/>
    <w:p w14:paraId="4D42D3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小标宋简体" w:cs="方正小标宋简体"/>
          <w:sz w:val="44"/>
          <w:szCs w:val="44"/>
          <w:lang w:val="en-US" w:eastAsia="zh-CN"/>
        </w:rPr>
      </w:pPr>
    </w:p>
    <w:p w14:paraId="304F2C84">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黑体" w:hAnsi="黑体" w:eastAsia="黑体" w:cs="黑体"/>
          <w:sz w:val="32"/>
          <w:szCs w:val="32"/>
          <w:lang w:val="en-US" w:eastAsia="zh-CN"/>
        </w:rPr>
      </w:pPr>
      <w:bookmarkStart w:id="0" w:name="_Toc197"/>
      <w:bookmarkStart w:id="1" w:name="_Toc20992"/>
      <w:bookmarkStart w:id="2" w:name="_Toc17910"/>
      <w:bookmarkStart w:id="3" w:name="_Toc22722"/>
      <w:r>
        <w:rPr>
          <w:rFonts w:hint="eastAsia" w:ascii="黑体" w:hAnsi="黑体" w:eastAsia="黑体" w:cs="黑体"/>
          <w:sz w:val="32"/>
          <w:szCs w:val="32"/>
        </w:rPr>
        <w:t>一、</w:t>
      </w:r>
      <w:r>
        <w:rPr>
          <w:rFonts w:hint="eastAsia" w:ascii="黑体" w:hAnsi="黑体" w:eastAsia="黑体" w:cs="黑体"/>
          <w:sz w:val="32"/>
          <w:szCs w:val="32"/>
          <w:lang w:val="en-US" w:eastAsia="zh-CN"/>
        </w:rPr>
        <w:t>基本情况</w:t>
      </w:r>
      <w:bookmarkEnd w:id="0"/>
      <w:bookmarkEnd w:id="1"/>
      <w:bookmarkEnd w:id="2"/>
      <w:bookmarkEnd w:id="3"/>
    </w:p>
    <w:p w14:paraId="610B6F67">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西乡县循环经济产业园区设立于2008年，由建材加工工业园、矿产品加工工业园、特色食品加工工业园和电子工业园组成，被陕西省政府批准列入全省100个重点建设县域工业园区之一，2011年被省政府评为陕南循环发展示范园区。2019年西乡循环经济产业园区将原来的特色食品加工产业园、建材加工产业园进行整合，将食品加工产业园和国动产业园作为园区的核心区域，成立西乡县经济开发区。</w:t>
      </w:r>
    </w:p>
    <w:p w14:paraId="0DCEC2D9">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为</w:t>
      </w:r>
      <w:r>
        <w:rPr>
          <w:rFonts w:hint="eastAsia" w:ascii="Times New Roman" w:hAnsi="Times New Roman" w:eastAsia="仿宋_GB2312" w:cs="仿宋_GB2312"/>
          <w:sz w:val="32"/>
          <w:szCs w:val="32"/>
          <w:lang w:eastAsia="zh-CN"/>
        </w:rPr>
        <w:t>完善产业园区基础设施条件，创造良好的商务环境、投资环境，加快区域经济稳定健康发展。</w:t>
      </w:r>
      <w:r>
        <w:rPr>
          <w:rFonts w:hint="eastAsia" w:ascii="Times New Roman" w:hAnsi="Times New Roman" w:eastAsia="仿宋_GB2312" w:cs="仿宋_GB2312"/>
          <w:sz w:val="32"/>
          <w:szCs w:val="32"/>
          <w:lang w:val="en-US" w:eastAsia="zh-CN"/>
        </w:rPr>
        <w:t>经西乡县人民政府同意，</w:t>
      </w:r>
      <w:r>
        <w:rPr>
          <w:rFonts w:hint="eastAsia" w:ascii="Times New Roman" w:hAnsi="Times New Roman" w:eastAsia="仿宋_GB2312" w:cs="仿宋_GB2312"/>
          <w:sz w:val="32"/>
          <w:szCs w:val="32"/>
          <w:lang w:eastAsia="zh-CN"/>
        </w:rPr>
        <w:t>西乡县循环经济工业园区管理办公室</w:t>
      </w:r>
      <w:r>
        <w:rPr>
          <w:rFonts w:hint="eastAsia" w:ascii="Times New Roman" w:hAnsi="Times New Roman" w:eastAsia="仿宋_GB2312" w:cs="仿宋_GB2312"/>
          <w:sz w:val="32"/>
          <w:szCs w:val="32"/>
          <w:lang w:val="en-US" w:eastAsia="zh-CN"/>
        </w:rPr>
        <w:t>申请了园区</w:t>
      </w:r>
      <w:r>
        <w:rPr>
          <w:rFonts w:hint="eastAsia" w:ascii="Times New Roman" w:hAnsi="Times New Roman" w:eastAsia="仿宋_GB2312" w:cs="仿宋_GB2312"/>
          <w:sz w:val="32"/>
          <w:szCs w:val="32"/>
          <w:lang w:eastAsia="zh-CN"/>
        </w:rPr>
        <w:t>基础设施综合配套服务中心建设项目。</w:t>
      </w:r>
    </w:p>
    <w:p w14:paraId="3A6A62C7">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项目概算总投资为12</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127.81万元，其中工程建安费10</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eastAsia="zh-CN"/>
        </w:rPr>
        <w:t>606.19万元，工程建设其他费用944.11万元，预备费577.51万元。</w:t>
      </w:r>
    </w:p>
    <w:p w14:paraId="4967236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黑体" w:hAnsi="黑体" w:eastAsia="黑体" w:cs="黑体"/>
          <w:sz w:val="32"/>
          <w:szCs w:val="32"/>
        </w:rPr>
      </w:pPr>
      <w:r>
        <w:rPr>
          <w:rFonts w:hint="eastAsia" w:ascii="Times New Roman" w:hAnsi="Times New Roman" w:eastAsia="仿宋_GB2312" w:cs="仿宋_GB2312"/>
          <w:sz w:val="32"/>
          <w:szCs w:val="32"/>
          <w:lang w:val="en-US" w:eastAsia="zh-CN"/>
        </w:rPr>
        <w:t>本次项目绩效评价的主要内容为：项目决策情况，资金管理和使用情况，相关管理制度办法的健全性及执行情况，实现的产出情况，取得的效益情况等。</w:t>
      </w:r>
      <w:bookmarkStart w:id="4" w:name="_Toc24766"/>
      <w:bookmarkStart w:id="5" w:name="_Toc8848"/>
      <w:bookmarkStart w:id="6" w:name="_Toc26414"/>
      <w:bookmarkStart w:id="7" w:name="_Toc25461"/>
    </w:p>
    <w:p w14:paraId="6BFDE790">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黑体" w:hAnsi="黑体" w:eastAsia="黑体" w:cs="黑体"/>
          <w:sz w:val="32"/>
          <w:szCs w:val="32"/>
        </w:rPr>
      </w:pPr>
    </w:p>
    <w:p w14:paraId="0E9FF3F3">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综合</w:t>
      </w:r>
      <w:r>
        <w:rPr>
          <w:rFonts w:hint="eastAsia" w:ascii="黑体" w:hAnsi="黑体" w:eastAsia="黑体" w:cs="黑体"/>
          <w:sz w:val="32"/>
          <w:szCs w:val="32"/>
        </w:rPr>
        <w:t>评价结论</w:t>
      </w:r>
      <w:bookmarkEnd w:id="4"/>
      <w:bookmarkEnd w:id="5"/>
      <w:bookmarkEnd w:id="6"/>
      <w:bookmarkEnd w:id="7"/>
    </w:p>
    <w:p w14:paraId="6E0D508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西乡县循环经济产业园区“基础设施综合配套服务中心建设”项目</w:t>
      </w:r>
      <w:r>
        <w:rPr>
          <w:rFonts w:hint="eastAsia" w:ascii="Times New Roman" w:hAnsi="Times New Roman" w:eastAsia="仿宋_GB2312" w:cs="仿宋_GB2312"/>
          <w:sz w:val="32"/>
          <w:szCs w:val="32"/>
        </w:rPr>
        <w:t>绩效评价最终评分结果为：</w:t>
      </w:r>
      <w:r>
        <w:rPr>
          <w:rFonts w:hint="eastAsia" w:ascii="Times New Roman" w:hAnsi="Times New Roman" w:eastAsia="仿宋_GB2312" w:cs="仿宋_GB2312"/>
          <w:sz w:val="32"/>
          <w:szCs w:val="32"/>
          <w:lang w:val="en-US" w:eastAsia="zh-CN"/>
        </w:rPr>
        <w:t>76.13分</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绩效评级为“中”</w:t>
      </w:r>
      <w:r>
        <w:rPr>
          <w:rFonts w:hint="eastAsia" w:ascii="Times New Roman" w:hAnsi="Times New Roman" w:eastAsia="仿宋_GB2312" w:cs="仿宋_GB2312"/>
          <w:sz w:val="32"/>
          <w:szCs w:val="32"/>
        </w:rPr>
        <w:t>。该项目按照计划内容</w:t>
      </w:r>
      <w:r>
        <w:rPr>
          <w:rFonts w:hint="eastAsia" w:ascii="Times New Roman" w:hAnsi="Times New Roman" w:eastAsia="仿宋_GB2312" w:cs="仿宋_GB2312"/>
          <w:sz w:val="32"/>
          <w:szCs w:val="32"/>
          <w:lang w:val="en-US" w:eastAsia="zh-CN"/>
        </w:rPr>
        <w:t>建设</w:t>
      </w:r>
      <w:r>
        <w:rPr>
          <w:rFonts w:hint="eastAsia" w:ascii="Times New Roman" w:hAnsi="Times New Roman" w:eastAsia="仿宋_GB2312" w:cs="仿宋_GB2312"/>
          <w:sz w:val="32"/>
          <w:szCs w:val="32"/>
        </w:rPr>
        <w:t>，项目建设程序合法合规，财务数据真实；项目建成后，能够改善基础设施条件，创造良好营商环境，实现了一定的经济效益与社会效益，项目能带来长期的可持续影响</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项目相关方</w:t>
      </w:r>
      <w:r>
        <w:rPr>
          <w:rFonts w:hint="eastAsia" w:ascii="Times New Roman" w:hAnsi="Times New Roman" w:eastAsia="仿宋_GB2312" w:cs="仿宋_GB2312"/>
          <w:sz w:val="32"/>
          <w:szCs w:val="32"/>
        </w:rPr>
        <w:t>满意度</w:t>
      </w:r>
      <w:r>
        <w:rPr>
          <w:rFonts w:hint="eastAsia" w:ascii="Times New Roman" w:hAnsi="Times New Roman" w:eastAsia="仿宋_GB2312" w:cs="仿宋_GB2312"/>
          <w:sz w:val="32"/>
          <w:szCs w:val="32"/>
          <w:lang w:val="en-US" w:eastAsia="zh-CN"/>
        </w:rPr>
        <w:t>高</w:t>
      </w:r>
      <w:r>
        <w:rPr>
          <w:rFonts w:hint="eastAsia" w:ascii="Times New Roman" w:hAnsi="Times New Roman" w:eastAsia="仿宋_GB2312" w:cs="仿宋_GB2312"/>
          <w:sz w:val="32"/>
          <w:szCs w:val="32"/>
        </w:rPr>
        <w:t>。但也存在项目</w:t>
      </w:r>
      <w:r>
        <w:rPr>
          <w:rFonts w:hint="eastAsia" w:ascii="Times New Roman" w:hAnsi="Times New Roman" w:eastAsia="仿宋_GB2312" w:cs="仿宋_GB2312"/>
          <w:sz w:val="32"/>
          <w:szCs w:val="32"/>
          <w:lang w:val="en-US" w:eastAsia="zh-CN"/>
        </w:rPr>
        <w:t>进度延迟</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专项债券</w:t>
      </w:r>
      <w:r>
        <w:rPr>
          <w:rFonts w:hint="eastAsia" w:ascii="Times New Roman" w:hAnsi="Times New Roman" w:eastAsia="仿宋_GB2312" w:cs="仿宋_GB2312"/>
          <w:sz w:val="32"/>
          <w:szCs w:val="32"/>
          <w:lang w:val="en-US" w:eastAsia="zh-CN"/>
        </w:rPr>
        <w:t>未纳入预算管理、未按期付息</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绩效监控不到位</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highlight w:val="none"/>
          <w:lang w:val="en-US" w:eastAsia="zh-CN"/>
        </w:rPr>
        <w:t>未进行消防验收即投入使用、暂</w:t>
      </w:r>
      <w:r>
        <w:rPr>
          <w:rFonts w:hint="eastAsia" w:ascii="Times New Roman" w:hAnsi="Times New Roman" w:eastAsia="仿宋_GB2312" w:cs="仿宋_GB2312"/>
          <w:sz w:val="32"/>
          <w:szCs w:val="32"/>
          <w:lang w:val="en-US" w:eastAsia="zh-CN"/>
        </w:rPr>
        <w:t>未实现年度收支平衡等问题。</w:t>
      </w:r>
    </w:p>
    <w:p w14:paraId="045B047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仿宋" w:hAnsi="仿宋" w:eastAsia="仿宋" w:cs="仿宋"/>
          <w:sz w:val="24"/>
          <w:szCs w:val="24"/>
          <w:lang w:val="en-US" w:eastAsia="zh-CN"/>
        </w:rPr>
      </w:pPr>
      <w:bookmarkStart w:id="8" w:name="_Toc31073"/>
      <w:bookmarkStart w:id="9" w:name="_Toc889"/>
      <w:bookmarkStart w:id="10" w:name="_Toc7157"/>
      <w:bookmarkStart w:id="11" w:name="_Toc15156"/>
      <w:r>
        <w:rPr>
          <w:rFonts w:hint="eastAsia" w:ascii="仿宋" w:hAnsi="仿宋" w:eastAsia="仿宋" w:cs="仿宋"/>
          <w:b/>
          <w:bCs/>
          <w:sz w:val="24"/>
          <w:szCs w:val="24"/>
          <w:lang w:val="en-US" w:eastAsia="zh-CN"/>
        </w:rPr>
        <w:t>西乡县循环经济产业园区</w:t>
      </w:r>
      <w:bookmarkEnd w:id="8"/>
      <w:bookmarkEnd w:id="9"/>
      <w:bookmarkEnd w:id="10"/>
      <w:bookmarkEnd w:id="11"/>
      <w:bookmarkStart w:id="12" w:name="_Toc12455"/>
      <w:bookmarkStart w:id="13" w:name="_Toc19701"/>
      <w:bookmarkStart w:id="14" w:name="_Toc18850"/>
      <w:bookmarkStart w:id="15" w:name="_Toc27974"/>
      <w:r>
        <w:rPr>
          <w:rFonts w:hint="eastAsia" w:ascii="仿宋" w:hAnsi="仿宋" w:eastAsia="仿宋" w:cs="仿宋"/>
          <w:b/>
          <w:bCs/>
          <w:sz w:val="24"/>
          <w:szCs w:val="24"/>
          <w:lang w:val="en-US" w:eastAsia="zh-CN"/>
        </w:rPr>
        <w:t>“基础设施综合配套服务中心建设”项目</w:t>
      </w:r>
      <w:bookmarkEnd w:id="12"/>
      <w:bookmarkEnd w:id="13"/>
      <w:bookmarkEnd w:id="14"/>
      <w:bookmarkEnd w:id="15"/>
      <w:bookmarkStart w:id="16" w:name="_Toc29633"/>
      <w:bookmarkStart w:id="17" w:name="_Toc12401"/>
      <w:bookmarkStart w:id="18" w:name="_Toc28485"/>
      <w:bookmarkStart w:id="19" w:name="_Toc22628"/>
      <w:r>
        <w:rPr>
          <w:rFonts w:hint="eastAsia" w:ascii="仿宋" w:hAnsi="仿宋" w:eastAsia="仿宋" w:cs="仿宋"/>
          <w:b/>
          <w:bCs/>
          <w:sz w:val="24"/>
          <w:szCs w:val="24"/>
          <w:lang w:val="en-US" w:eastAsia="zh-CN"/>
        </w:rPr>
        <w:t>指标评分表</w:t>
      </w:r>
      <w:bookmarkEnd w:id="16"/>
      <w:bookmarkEnd w:id="17"/>
      <w:bookmarkEnd w:id="18"/>
      <w:bookmarkEnd w:id="19"/>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2"/>
        <w:gridCol w:w="2213"/>
        <w:gridCol w:w="2213"/>
        <w:gridCol w:w="2223"/>
      </w:tblGrid>
      <w:tr w14:paraId="148C2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blHeader/>
          <w:jc w:val="center"/>
        </w:trPr>
        <w:tc>
          <w:tcPr>
            <w:tcW w:w="1248" w:type="pct"/>
            <w:noWrap w:val="0"/>
            <w:tcMar>
              <w:top w:w="10" w:type="dxa"/>
              <w:left w:w="10" w:type="dxa"/>
              <w:right w:w="10" w:type="dxa"/>
            </w:tcMar>
            <w:vAlign w:val="center"/>
          </w:tcPr>
          <w:p w14:paraId="5410F1D8">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一级指标</w:t>
            </w:r>
          </w:p>
        </w:tc>
        <w:tc>
          <w:tcPr>
            <w:tcW w:w="1249" w:type="pct"/>
            <w:noWrap w:val="0"/>
            <w:tcMar>
              <w:top w:w="10" w:type="dxa"/>
              <w:left w:w="10" w:type="dxa"/>
              <w:right w:w="10" w:type="dxa"/>
            </w:tcMar>
            <w:vAlign w:val="center"/>
          </w:tcPr>
          <w:p w14:paraId="1A6B0908">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分值</w:t>
            </w:r>
          </w:p>
        </w:tc>
        <w:tc>
          <w:tcPr>
            <w:tcW w:w="1249" w:type="pct"/>
            <w:noWrap w:val="0"/>
            <w:tcMar>
              <w:top w:w="10" w:type="dxa"/>
              <w:left w:w="10" w:type="dxa"/>
              <w:right w:w="10" w:type="dxa"/>
            </w:tcMar>
            <w:vAlign w:val="center"/>
          </w:tcPr>
          <w:p w14:paraId="356DBDEE">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得分</w:t>
            </w:r>
          </w:p>
        </w:tc>
        <w:tc>
          <w:tcPr>
            <w:tcW w:w="1252" w:type="pct"/>
            <w:noWrap w:val="0"/>
            <w:tcMar>
              <w:top w:w="10" w:type="dxa"/>
              <w:left w:w="10" w:type="dxa"/>
              <w:right w:w="10" w:type="dxa"/>
            </w:tcMar>
            <w:vAlign w:val="center"/>
          </w:tcPr>
          <w:p w14:paraId="60961289">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得分率</w:t>
            </w:r>
          </w:p>
        </w:tc>
      </w:tr>
      <w:tr w14:paraId="030D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48" w:type="pct"/>
            <w:noWrap w:val="0"/>
            <w:tcMar>
              <w:top w:w="10" w:type="dxa"/>
              <w:left w:w="10" w:type="dxa"/>
              <w:right w:w="10" w:type="dxa"/>
            </w:tcMar>
            <w:vAlign w:val="center"/>
          </w:tcPr>
          <w:p w14:paraId="35FA590E">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A决策</w:t>
            </w:r>
          </w:p>
        </w:tc>
        <w:tc>
          <w:tcPr>
            <w:tcW w:w="1249" w:type="pct"/>
            <w:noWrap w:val="0"/>
            <w:tcMar>
              <w:top w:w="10" w:type="dxa"/>
              <w:left w:w="10" w:type="dxa"/>
              <w:right w:w="10" w:type="dxa"/>
            </w:tcMar>
            <w:vAlign w:val="center"/>
          </w:tcPr>
          <w:p w14:paraId="498276E5">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w:t>
            </w:r>
          </w:p>
        </w:tc>
        <w:tc>
          <w:tcPr>
            <w:tcW w:w="1249" w:type="pct"/>
            <w:noWrap w:val="0"/>
            <w:tcMar>
              <w:top w:w="10" w:type="dxa"/>
              <w:left w:w="10" w:type="dxa"/>
              <w:right w:w="10" w:type="dxa"/>
            </w:tcMar>
            <w:vAlign w:val="center"/>
          </w:tcPr>
          <w:p w14:paraId="0381F02E">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15</w:t>
            </w:r>
          </w:p>
        </w:tc>
        <w:tc>
          <w:tcPr>
            <w:tcW w:w="1252" w:type="pct"/>
            <w:noWrap w:val="0"/>
            <w:tcMar>
              <w:top w:w="10" w:type="dxa"/>
              <w:left w:w="10" w:type="dxa"/>
              <w:right w:w="10" w:type="dxa"/>
            </w:tcMar>
            <w:vAlign w:val="center"/>
          </w:tcPr>
          <w:p w14:paraId="220B030D">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100%</w:t>
            </w:r>
          </w:p>
        </w:tc>
      </w:tr>
      <w:tr w14:paraId="3C54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48" w:type="pct"/>
            <w:noWrap w:val="0"/>
            <w:tcMar>
              <w:top w:w="10" w:type="dxa"/>
              <w:left w:w="10" w:type="dxa"/>
              <w:right w:w="10" w:type="dxa"/>
            </w:tcMar>
            <w:vAlign w:val="center"/>
          </w:tcPr>
          <w:p w14:paraId="209B4EC1">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B过程</w:t>
            </w:r>
          </w:p>
        </w:tc>
        <w:tc>
          <w:tcPr>
            <w:tcW w:w="1249" w:type="pct"/>
            <w:noWrap w:val="0"/>
            <w:tcMar>
              <w:top w:w="10" w:type="dxa"/>
              <w:left w:w="10" w:type="dxa"/>
              <w:right w:w="10" w:type="dxa"/>
            </w:tcMar>
            <w:vAlign w:val="center"/>
          </w:tcPr>
          <w:p w14:paraId="0E25E501">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20</w:t>
            </w:r>
          </w:p>
        </w:tc>
        <w:tc>
          <w:tcPr>
            <w:tcW w:w="1249" w:type="pct"/>
            <w:noWrap w:val="0"/>
            <w:tcMar>
              <w:top w:w="10" w:type="dxa"/>
              <w:left w:w="10" w:type="dxa"/>
              <w:right w:w="10" w:type="dxa"/>
            </w:tcMar>
            <w:vAlign w:val="center"/>
          </w:tcPr>
          <w:p w14:paraId="52932370">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11.53</w:t>
            </w:r>
          </w:p>
        </w:tc>
        <w:tc>
          <w:tcPr>
            <w:tcW w:w="1252" w:type="pct"/>
            <w:noWrap w:val="0"/>
            <w:tcMar>
              <w:top w:w="10" w:type="dxa"/>
              <w:left w:w="10" w:type="dxa"/>
              <w:right w:w="10" w:type="dxa"/>
            </w:tcMar>
            <w:vAlign w:val="center"/>
          </w:tcPr>
          <w:p w14:paraId="37238776">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57.65%</w:t>
            </w:r>
          </w:p>
        </w:tc>
      </w:tr>
      <w:tr w14:paraId="1DBA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48" w:type="pct"/>
            <w:noWrap w:val="0"/>
            <w:tcMar>
              <w:top w:w="10" w:type="dxa"/>
              <w:left w:w="10" w:type="dxa"/>
              <w:right w:w="10" w:type="dxa"/>
            </w:tcMar>
            <w:vAlign w:val="center"/>
          </w:tcPr>
          <w:p w14:paraId="7692F2BE">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C产出</w:t>
            </w:r>
          </w:p>
        </w:tc>
        <w:tc>
          <w:tcPr>
            <w:tcW w:w="1249" w:type="pct"/>
            <w:noWrap w:val="0"/>
            <w:tcMar>
              <w:top w:w="10" w:type="dxa"/>
              <w:left w:w="10" w:type="dxa"/>
              <w:right w:w="10" w:type="dxa"/>
            </w:tcMar>
            <w:vAlign w:val="center"/>
          </w:tcPr>
          <w:p w14:paraId="08C171F3">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40</w:t>
            </w:r>
          </w:p>
        </w:tc>
        <w:tc>
          <w:tcPr>
            <w:tcW w:w="1249" w:type="pct"/>
            <w:noWrap w:val="0"/>
            <w:tcMar>
              <w:top w:w="10" w:type="dxa"/>
              <w:left w:w="10" w:type="dxa"/>
              <w:right w:w="10" w:type="dxa"/>
            </w:tcMar>
            <w:vAlign w:val="center"/>
          </w:tcPr>
          <w:p w14:paraId="11D6658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30</w:t>
            </w:r>
          </w:p>
        </w:tc>
        <w:tc>
          <w:tcPr>
            <w:tcW w:w="1252" w:type="pct"/>
            <w:noWrap w:val="0"/>
            <w:tcMar>
              <w:top w:w="10" w:type="dxa"/>
              <w:left w:w="10" w:type="dxa"/>
              <w:right w:w="10" w:type="dxa"/>
            </w:tcMar>
            <w:vAlign w:val="center"/>
          </w:tcPr>
          <w:p w14:paraId="6D2EA10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75%</w:t>
            </w:r>
          </w:p>
        </w:tc>
      </w:tr>
      <w:tr w14:paraId="755D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248" w:type="pct"/>
            <w:noWrap w:val="0"/>
            <w:tcMar>
              <w:top w:w="10" w:type="dxa"/>
              <w:left w:w="10" w:type="dxa"/>
              <w:right w:w="10" w:type="dxa"/>
            </w:tcMar>
            <w:vAlign w:val="center"/>
          </w:tcPr>
          <w:p w14:paraId="0AE5C477">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仿宋" w:hAnsi="仿宋" w:eastAsia="仿宋" w:cs="仿宋"/>
                <w:sz w:val="24"/>
                <w:szCs w:val="24"/>
              </w:rPr>
            </w:pPr>
            <w:r>
              <w:rPr>
                <w:rFonts w:hint="eastAsia" w:ascii="仿宋" w:hAnsi="仿宋" w:eastAsia="仿宋" w:cs="仿宋"/>
                <w:sz w:val="24"/>
                <w:szCs w:val="24"/>
              </w:rPr>
              <w:t>D效益</w:t>
            </w:r>
          </w:p>
        </w:tc>
        <w:tc>
          <w:tcPr>
            <w:tcW w:w="1249" w:type="pct"/>
            <w:noWrap w:val="0"/>
            <w:tcMar>
              <w:top w:w="10" w:type="dxa"/>
              <w:left w:w="10" w:type="dxa"/>
              <w:right w:w="10" w:type="dxa"/>
            </w:tcMar>
            <w:vAlign w:val="center"/>
          </w:tcPr>
          <w:p w14:paraId="7ADF2B67">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25</w:t>
            </w:r>
          </w:p>
        </w:tc>
        <w:tc>
          <w:tcPr>
            <w:tcW w:w="1249" w:type="pct"/>
            <w:noWrap w:val="0"/>
            <w:tcMar>
              <w:top w:w="10" w:type="dxa"/>
              <w:left w:w="10" w:type="dxa"/>
              <w:right w:w="10" w:type="dxa"/>
            </w:tcMar>
            <w:vAlign w:val="center"/>
          </w:tcPr>
          <w:p w14:paraId="14DA33E3">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19.6</w:t>
            </w:r>
          </w:p>
        </w:tc>
        <w:tc>
          <w:tcPr>
            <w:tcW w:w="1252" w:type="pct"/>
            <w:noWrap w:val="0"/>
            <w:tcMar>
              <w:top w:w="10" w:type="dxa"/>
              <w:left w:w="10" w:type="dxa"/>
              <w:right w:w="10" w:type="dxa"/>
            </w:tcMar>
            <w:vAlign w:val="center"/>
          </w:tcPr>
          <w:p w14:paraId="4ADCD543">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78.4%</w:t>
            </w:r>
          </w:p>
        </w:tc>
      </w:tr>
      <w:tr w14:paraId="7891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5000" w:type="pct"/>
            <w:gridSpan w:val="4"/>
            <w:noWrap w:val="0"/>
            <w:tcMar>
              <w:top w:w="10" w:type="dxa"/>
              <w:left w:w="10" w:type="dxa"/>
              <w:right w:w="10" w:type="dxa"/>
            </w:tcMar>
            <w:vAlign w:val="center"/>
          </w:tcPr>
          <w:p w14:paraId="5731539D">
            <w:pPr>
              <w:keepNext w:val="0"/>
              <w:keepLines w:val="0"/>
              <w:pageBreakBefore w:val="0"/>
              <w:widowControl w:val="0"/>
              <w:kinsoku/>
              <w:wordWrap/>
              <w:overflowPunct/>
              <w:topLinePunct w:val="0"/>
              <w:autoSpaceDE/>
              <w:autoSpaceDN/>
              <w:bidi w:val="0"/>
              <w:adjustRightInd/>
              <w:snapToGrid/>
              <w:spacing w:line="578" w:lineRule="exact"/>
              <w:ind w:firstLine="1927" w:firstLineChars="803"/>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绩效评价得分：</w:t>
            </w:r>
            <w:r>
              <w:rPr>
                <w:rFonts w:hint="default" w:ascii="Times New Roman" w:hAnsi="Times New Roman" w:eastAsia="仿宋" w:cs="Times New Roman"/>
                <w:sz w:val="24"/>
                <w:szCs w:val="24"/>
                <w:highlight w:val="none"/>
                <w:lang w:val="en-US" w:eastAsia="zh-CN"/>
              </w:rPr>
              <w:t>76.13</w:t>
            </w:r>
            <w:r>
              <w:rPr>
                <w:rFonts w:hint="eastAsia" w:ascii="仿宋" w:hAnsi="仿宋" w:eastAsia="仿宋" w:cs="仿宋"/>
                <w:sz w:val="24"/>
                <w:szCs w:val="24"/>
                <w:highlight w:val="none"/>
              </w:rPr>
              <w:t>综合评价结果等级：</w:t>
            </w:r>
            <w:r>
              <w:rPr>
                <w:rFonts w:hint="eastAsia" w:ascii="仿宋" w:hAnsi="仿宋" w:eastAsia="仿宋" w:cs="仿宋"/>
                <w:sz w:val="24"/>
                <w:szCs w:val="24"/>
                <w:highlight w:val="none"/>
                <w:lang w:val="en-US" w:eastAsia="zh-CN"/>
              </w:rPr>
              <w:t>中</w:t>
            </w:r>
          </w:p>
        </w:tc>
      </w:tr>
    </w:tbl>
    <w:p w14:paraId="7D59602A">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黑体" w:hAnsi="黑体" w:eastAsia="黑体" w:cs="黑体"/>
          <w:sz w:val="32"/>
          <w:szCs w:val="32"/>
        </w:rPr>
      </w:pPr>
      <w:bookmarkStart w:id="20" w:name="_Toc1865"/>
      <w:bookmarkStart w:id="21" w:name="_Toc28759"/>
      <w:bookmarkStart w:id="22" w:name="_Toc31304"/>
      <w:bookmarkStart w:id="23" w:name="_Toc13926"/>
      <w:r>
        <w:rPr>
          <w:rFonts w:hint="eastAsia" w:ascii="黑体" w:hAnsi="黑体" w:eastAsia="黑体" w:cs="黑体"/>
          <w:sz w:val="32"/>
          <w:szCs w:val="32"/>
          <w:lang w:val="en-US" w:eastAsia="zh-CN"/>
        </w:rPr>
        <w:t>三</w:t>
      </w:r>
      <w:r>
        <w:rPr>
          <w:rFonts w:hint="eastAsia" w:ascii="黑体" w:hAnsi="黑体" w:eastAsia="黑体" w:cs="黑体"/>
          <w:sz w:val="32"/>
          <w:szCs w:val="32"/>
        </w:rPr>
        <w:t>、主要经验及做法</w:t>
      </w:r>
      <w:bookmarkEnd w:id="20"/>
      <w:bookmarkEnd w:id="21"/>
      <w:bookmarkEnd w:id="22"/>
      <w:bookmarkEnd w:id="23"/>
    </w:p>
    <w:p w14:paraId="4921D4D0">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lang w:val="en-US" w:eastAsia="zh-CN"/>
        </w:rPr>
      </w:pPr>
      <w:bookmarkStart w:id="24" w:name="_Toc30579"/>
      <w:bookmarkStart w:id="25" w:name="_Toc22891"/>
      <w:bookmarkStart w:id="26" w:name="_Toc27401"/>
      <w:bookmarkStart w:id="27" w:name="_Toc18592"/>
      <w:r>
        <w:rPr>
          <w:rFonts w:hint="eastAsia" w:ascii="楷体_GB2312" w:hAnsi="楷体_GB2312" w:eastAsia="楷体_GB2312" w:cs="楷体_GB2312"/>
          <w:sz w:val="32"/>
          <w:szCs w:val="32"/>
          <w:lang w:val="en-US" w:eastAsia="zh-CN"/>
        </w:rPr>
        <w:t>（一）项目建设符合国家对产业发展的政策要求</w:t>
      </w:r>
      <w:bookmarkEnd w:id="24"/>
      <w:bookmarkEnd w:id="25"/>
      <w:bookmarkEnd w:id="26"/>
      <w:bookmarkEnd w:id="27"/>
    </w:p>
    <w:p w14:paraId="4E324E9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仿宋_GB2312"/>
          <w:sz w:val="32"/>
          <w:szCs w:val="32"/>
          <w:lang w:val="en-US" w:eastAsia="zh-CN"/>
        </w:rPr>
      </w:pPr>
      <w:bookmarkStart w:id="28" w:name="_Toc9402"/>
      <w:bookmarkStart w:id="29" w:name="_Toc607"/>
      <w:bookmarkStart w:id="30" w:name="_Toc18784"/>
      <w:bookmarkStart w:id="31" w:name="_Toc8111"/>
      <w:r>
        <w:rPr>
          <w:rFonts w:hint="eastAsia" w:ascii="Times New Roman" w:hAnsi="Times New Roman" w:eastAsia="仿宋_GB2312" w:cs="仿宋_GB2312"/>
          <w:sz w:val="32"/>
          <w:szCs w:val="32"/>
          <w:lang w:val="en-US" w:eastAsia="zh-CN"/>
        </w:rPr>
        <w:t>本项目顺应国家循环经济产业结构和推进区域优势产业稳定发展的政策要求，符合陕西省加快推进陕南循环发展的战略安排，是全省三大区域协调发展的客观需要。项目符合西乡县十四五规划和西乡县循环经济产业园区总体规划和实际需求。</w:t>
      </w:r>
      <w:bookmarkEnd w:id="28"/>
      <w:bookmarkEnd w:id="29"/>
      <w:bookmarkEnd w:id="30"/>
      <w:bookmarkEnd w:id="31"/>
    </w:p>
    <w:p w14:paraId="4E46BBC4">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楷体_GB2312" w:hAnsi="楷体_GB2312" w:eastAsia="楷体_GB2312" w:cs="楷体_GB2312"/>
          <w:sz w:val="32"/>
          <w:szCs w:val="32"/>
          <w:lang w:val="en-US" w:eastAsia="zh-CN"/>
        </w:rPr>
      </w:pPr>
      <w:bookmarkStart w:id="32" w:name="_Toc13642"/>
      <w:bookmarkStart w:id="33" w:name="_Toc11339"/>
      <w:bookmarkStart w:id="34" w:name="_Toc16966"/>
      <w:bookmarkStart w:id="35" w:name="_Toc27014"/>
      <w:r>
        <w:rPr>
          <w:rFonts w:hint="eastAsia" w:ascii="楷体_GB2312" w:hAnsi="楷体_GB2312" w:eastAsia="楷体_GB2312" w:cs="楷体_GB2312"/>
          <w:sz w:val="32"/>
          <w:szCs w:val="32"/>
          <w:lang w:val="en-US" w:eastAsia="zh-CN"/>
        </w:rPr>
        <w:t>（二）项目建设促进地方基础设施建设，改善营商环境</w:t>
      </w:r>
      <w:bookmarkEnd w:id="32"/>
      <w:bookmarkEnd w:id="33"/>
      <w:bookmarkEnd w:id="34"/>
      <w:bookmarkEnd w:id="35"/>
    </w:p>
    <w:p w14:paraId="6ABC4950">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CN"/>
        </w:rPr>
      </w:pPr>
      <w:bookmarkStart w:id="36" w:name="_Toc18375"/>
      <w:bookmarkStart w:id="37" w:name="_Toc29110"/>
      <w:bookmarkStart w:id="38" w:name="_Toc14319"/>
      <w:bookmarkStart w:id="39" w:name="_Toc16632"/>
      <w:r>
        <w:rPr>
          <w:rFonts w:hint="eastAsia" w:ascii="Times New Roman" w:hAnsi="Times New Roman" w:eastAsia="仿宋_GB2312" w:cs="仿宋_GB2312"/>
          <w:sz w:val="32"/>
          <w:szCs w:val="32"/>
          <w:lang w:val="en-US" w:eastAsia="zh-CN"/>
        </w:rPr>
        <w:t>项目建成后，能显著改善园区基础设施条件，为入园企业提供创业培训、产品展示、电商、投资交流等一体化服务，同时提供员工生活、晚托幼托等后勤保障服务，改善了营商环境，增强产业集聚，提升地方经济发展潜力。</w:t>
      </w:r>
      <w:bookmarkEnd w:id="36"/>
      <w:bookmarkEnd w:id="37"/>
      <w:bookmarkEnd w:id="38"/>
      <w:bookmarkEnd w:id="39"/>
    </w:p>
    <w:p w14:paraId="284E989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lang w:val="en-US" w:eastAsia="zh-CN"/>
        </w:rPr>
      </w:pPr>
      <w:bookmarkStart w:id="40" w:name="_Toc11835"/>
      <w:bookmarkStart w:id="41" w:name="_Toc26463"/>
      <w:bookmarkStart w:id="42" w:name="_Toc8918"/>
      <w:r>
        <w:rPr>
          <w:rFonts w:hint="eastAsia" w:ascii="楷体_GB2312" w:hAnsi="楷体_GB2312" w:eastAsia="楷体_GB2312" w:cs="楷体_GB2312"/>
          <w:sz w:val="32"/>
          <w:szCs w:val="32"/>
          <w:lang w:val="en-US" w:eastAsia="zh-CN"/>
        </w:rPr>
        <w:t>（三）项目建设解决了附近群众出行、务工等问题</w:t>
      </w:r>
      <w:bookmarkEnd w:id="40"/>
      <w:bookmarkEnd w:id="41"/>
      <w:bookmarkEnd w:id="42"/>
    </w:p>
    <w:p w14:paraId="787EC39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本项目的建成，改善了出行条件，为当地群众生产生活提供了便利。同时，为园区企业招工、当地群众就业均有促进作用。</w:t>
      </w:r>
    </w:p>
    <w:p w14:paraId="2AD5342A">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rPr>
      </w:pPr>
      <w:bookmarkStart w:id="43" w:name="_Toc19202"/>
      <w:bookmarkStart w:id="44" w:name="_Toc16109"/>
      <w:bookmarkStart w:id="45" w:name="_Toc23910"/>
      <w:bookmarkStart w:id="46" w:name="_Toc3931"/>
      <w:r>
        <w:rPr>
          <w:rFonts w:hint="eastAsia" w:ascii="黑体" w:hAnsi="黑体" w:eastAsia="黑体" w:cs="黑体"/>
          <w:sz w:val="32"/>
          <w:szCs w:val="32"/>
          <w:lang w:val="en-US" w:eastAsia="zh-CN"/>
        </w:rPr>
        <w:t>四、</w:t>
      </w:r>
      <w:r>
        <w:rPr>
          <w:rFonts w:hint="eastAsia" w:ascii="黑体" w:hAnsi="黑体" w:eastAsia="黑体" w:cs="黑体"/>
          <w:sz w:val="32"/>
          <w:szCs w:val="32"/>
        </w:rPr>
        <w:t>存在的问题</w:t>
      </w:r>
      <w:bookmarkEnd w:id="43"/>
      <w:bookmarkEnd w:id="44"/>
      <w:bookmarkEnd w:id="45"/>
      <w:bookmarkEnd w:id="46"/>
    </w:p>
    <w:p w14:paraId="602B9DD5">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lang w:val="en-US" w:eastAsia="zh-CN"/>
        </w:rPr>
      </w:pPr>
      <w:bookmarkStart w:id="47" w:name="_Toc10626"/>
      <w:bookmarkStart w:id="48" w:name="_Toc24365"/>
      <w:bookmarkStart w:id="49" w:name="_Toc16901"/>
      <w:bookmarkStart w:id="50" w:name="_Toc6005"/>
      <w:r>
        <w:rPr>
          <w:rFonts w:hint="eastAsia" w:ascii="楷体_GB2312" w:hAnsi="楷体_GB2312" w:eastAsia="楷体_GB2312" w:cs="楷体_GB2312"/>
          <w:sz w:val="32"/>
          <w:szCs w:val="32"/>
          <w:lang w:val="en-US" w:eastAsia="zh-CN"/>
        </w:rPr>
        <w:t>（一）项目组织管理不到位，造成工期延误，未按期支付工程款项，项目时效、成本指标存在不足</w:t>
      </w:r>
      <w:bookmarkEnd w:id="47"/>
      <w:bookmarkEnd w:id="48"/>
      <w:bookmarkEnd w:id="49"/>
      <w:bookmarkEnd w:id="50"/>
    </w:p>
    <w:p w14:paraId="06D21CC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项目组织管理中存在不足，未能按期完成建设任务，竣工决算工作进展缓慢，未按期支付工程款项，造成项目产出时效、成本指标存在不足。</w:t>
      </w:r>
    </w:p>
    <w:p w14:paraId="551B0DE6">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lang w:val="en-US" w:eastAsia="zh-CN"/>
        </w:rPr>
      </w:pPr>
      <w:bookmarkStart w:id="51" w:name="_Toc17386"/>
      <w:bookmarkStart w:id="52" w:name="_Toc18272"/>
      <w:bookmarkStart w:id="53" w:name="_Toc10107"/>
      <w:bookmarkStart w:id="54" w:name="_Toc25836"/>
      <w:r>
        <w:rPr>
          <w:rFonts w:hint="eastAsia" w:ascii="楷体_GB2312" w:hAnsi="楷体_GB2312" w:eastAsia="楷体_GB2312" w:cs="楷体_GB2312"/>
          <w:sz w:val="32"/>
          <w:szCs w:val="32"/>
          <w:lang w:val="en-US" w:eastAsia="zh-CN"/>
        </w:rPr>
        <w:t>（二）项目资料管理不规范，项目名称多处不一致，项目未按照全过程绩效管理的要求进行过程绩效监控</w:t>
      </w:r>
      <w:bookmarkEnd w:id="51"/>
      <w:bookmarkEnd w:id="52"/>
    </w:p>
    <w:p w14:paraId="591AD054">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CN"/>
        </w:rPr>
      </w:pPr>
      <w:bookmarkStart w:id="55" w:name="_Toc93"/>
      <w:bookmarkStart w:id="56" w:name="_Toc25442"/>
      <w:r>
        <w:rPr>
          <w:rFonts w:hint="eastAsia" w:ascii="Times New Roman" w:hAnsi="Times New Roman" w:eastAsia="仿宋_GB2312" w:cs="仿宋_GB2312"/>
          <w:sz w:val="32"/>
          <w:szCs w:val="32"/>
          <w:lang w:val="en-US" w:eastAsia="zh-CN"/>
        </w:rPr>
        <w:t>项目资料管理不规范，文件中项目名称“西乡县循环经济产业园区”“西乡县循环经济工业园区”同指该项目。项目未按照财政部《关于贯彻落实&lt;中共中央国务院关于全面实施预算绩效管理的意见&gt;的通知》（财预〔2018〕167号）要求，建立绩效跟踪机制，进行过程绩效监控。</w:t>
      </w:r>
      <w:bookmarkEnd w:id="55"/>
      <w:bookmarkEnd w:id="56"/>
    </w:p>
    <w:p w14:paraId="644B413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lang w:val="en-US" w:eastAsia="zh-CN"/>
        </w:rPr>
      </w:pPr>
      <w:bookmarkStart w:id="57" w:name="_Toc12945"/>
      <w:bookmarkStart w:id="58" w:name="_Toc18355"/>
      <w:r>
        <w:rPr>
          <w:rFonts w:hint="eastAsia" w:ascii="楷体_GB2312" w:hAnsi="楷体_GB2312" w:eastAsia="楷体_GB2312" w:cs="楷体_GB2312"/>
          <w:sz w:val="32"/>
          <w:szCs w:val="32"/>
          <w:lang w:val="en-US" w:eastAsia="zh-CN"/>
        </w:rPr>
        <w:t>（三）专项债券管理存在不足，未纳入预算管理，未能按期支付利息</w:t>
      </w:r>
      <w:bookmarkEnd w:id="53"/>
      <w:bookmarkEnd w:id="54"/>
      <w:bookmarkEnd w:id="57"/>
      <w:bookmarkEnd w:id="58"/>
    </w:p>
    <w:p w14:paraId="18BE0184">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CN"/>
        </w:rPr>
      </w:pPr>
      <w:bookmarkStart w:id="59" w:name="_Toc27943"/>
      <w:bookmarkStart w:id="60" w:name="_Toc11786"/>
      <w:bookmarkStart w:id="61" w:name="_Toc20069"/>
      <w:bookmarkStart w:id="62" w:name="_Toc31742"/>
      <w:r>
        <w:rPr>
          <w:rFonts w:hint="eastAsia" w:ascii="Times New Roman" w:hAnsi="Times New Roman" w:eastAsia="仿宋_GB2312" w:cs="仿宋_GB2312"/>
          <w:sz w:val="32"/>
          <w:szCs w:val="32"/>
        </w:rPr>
        <w:t>本次评价，未能获取到专项债券收支、还本付息和专项收入纳入政府性基金预算管理，且按照专门设置的预算收支科目单独核算和全面管理的相关资料</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专项债券预算管理不规范。</w:t>
      </w:r>
      <w:bookmarkEnd w:id="59"/>
      <w:bookmarkEnd w:id="60"/>
      <w:bookmarkEnd w:id="61"/>
      <w:bookmarkEnd w:id="62"/>
    </w:p>
    <w:p w14:paraId="492CDBD6">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CN"/>
        </w:rPr>
      </w:pPr>
      <w:bookmarkStart w:id="63" w:name="_Toc21114"/>
      <w:bookmarkStart w:id="64" w:name="_Toc9925"/>
      <w:bookmarkStart w:id="65" w:name="_Toc16234"/>
      <w:bookmarkStart w:id="66" w:name="_Toc32535"/>
      <w:r>
        <w:rPr>
          <w:rFonts w:hint="eastAsia" w:ascii="Times New Roman" w:hAnsi="Times New Roman" w:eastAsia="仿宋_GB2312" w:cs="仿宋_GB2312"/>
          <w:sz w:val="32"/>
          <w:szCs w:val="32"/>
          <w:lang w:val="en-US" w:eastAsia="zh-CN"/>
        </w:rPr>
        <w:t>经与西乡县循环经济工业园区管理办公室、西乡县国有资产投资管理有限公司、西乡县财政局沟通确认，两笔债券均未还本付息。</w:t>
      </w:r>
      <w:bookmarkEnd w:id="63"/>
      <w:bookmarkEnd w:id="64"/>
      <w:bookmarkEnd w:id="65"/>
      <w:bookmarkEnd w:id="66"/>
    </w:p>
    <w:p w14:paraId="494400D9">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lang w:val="en-US" w:eastAsia="zh-CN"/>
        </w:rPr>
      </w:pPr>
      <w:bookmarkStart w:id="67" w:name="_Toc26540"/>
      <w:bookmarkStart w:id="68" w:name="_Toc2769"/>
      <w:r>
        <w:rPr>
          <w:rFonts w:hint="eastAsia" w:ascii="楷体_GB2312" w:hAnsi="楷体_GB2312" w:eastAsia="楷体_GB2312" w:cs="楷体_GB2312"/>
          <w:sz w:val="32"/>
          <w:szCs w:val="32"/>
          <w:lang w:val="en-US" w:eastAsia="zh-CN"/>
        </w:rPr>
        <w:t>（四）项目未进行消防验收即投入使用，存在较大安全隐患</w:t>
      </w:r>
      <w:bookmarkEnd w:id="67"/>
      <w:bookmarkEnd w:id="68"/>
    </w:p>
    <w:p w14:paraId="67EC02C9">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仿宋_GB2312" w:cs="仿宋_GB2312"/>
          <w:sz w:val="32"/>
          <w:szCs w:val="32"/>
          <w:lang w:val="en-US" w:eastAsia="zh-CN"/>
        </w:rPr>
      </w:pPr>
      <w:bookmarkStart w:id="69" w:name="_Toc2496"/>
      <w:bookmarkStart w:id="70" w:name="_Toc2880"/>
      <w:r>
        <w:rPr>
          <w:rFonts w:hint="eastAsia" w:ascii="Times New Roman" w:hAnsi="Times New Roman" w:eastAsia="仿宋_GB2312" w:cs="仿宋_GB2312"/>
          <w:sz w:val="32"/>
          <w:szCs w:val="32"/>
          <w:lang w:val="en-US" w:eastAsia="zh-CN"/>
        </w:rPr>
        <w:t>2023年3月，经建设单位、勘察单位、设计单位、监理单位、施工单位共同验收，三个标段工程质量均合格。依据《建设工程消防设计审查验收管理暂行规定》，本项目属于需消防验收的项目，但建设单位尚未进行消防验收，部分房屋已出租并投入使用，存在较大安全隐患。</w:t>
      </w:r>
      <w:bookmarkEnd w:id="69"/>
      <w:bookmarkEnd w:id="70"/>
    </w:p>
    <w:p w14:paraId="37B6EA8D">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楷体_GB2312" w:hAnsi="楷体_GB2312" w:eastAsia="楷体_GB2312" w:cs="楷体_GB2312"/>
          <w:sz w:val="32"/>
          <w:szCs w:val="32"/>
          <w:lang w:val="en-US" w:eastAsia="zh-CN"/>
        </w:rPr>
      </w:pPr>
      <w:bookmarkStart w:id="71" w:name="_Toc7929"/>
      <w:bookmarkStart w:id="72" w:name="_Toc17166"/>
      <w:r>
        <w:rPr>
          <w:rFonts w:hint="eastAsia" w:ascii="楷体_GB2312" w:hAnsi="楷体_GB2312" w:eastAsia="楷体_GB2312" w:cs="楷体_GB2312"/>
          <w:sz w:val="32"/>
          <w:szCs w:val="32"/>
          <w:lang w:val="en-US" w:eastAsia="zh-CN"/>
        </w:rPr>
        <w:t>（五）项目暂未能实现年度收支平衡</w:t>
      </w:r>
      <w:bookmarkEnd w:id="71"/>
      <w:bookmarkEnd w:id="72"/>
    </w:p>
    <w:p w14:paraId="2F829F0D">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CN"/>
        </w:rPr>
      </w:pPr>
      <w:bookmarkStart w:id="73" w:name="_Toc24452"/>
      <w:bookmarkStart w:id="74" w:name="_Toc12448"/>
      <w:r>
        <w:rPr>
          <w:rFonts w:hint="eastAsia" w:ascii="Times New Roman" w:hAnsi="Times New Roman" w:eastAsia="仿宋_GB2312" w:cs="仿宋_GB2312"/>
          <w:sz w:val="32"/>
          <w:szCs w:val="32"/>
          <w:lang w:val="en-US" w:eastAsia="zh-CN"/>
        </w:rPr>
        <w:t>从项目运营近一年的情况分析，受到项目完成进度、租赁情况等多种因素影响，2023年5月至2024年4月，项目暂不能维持年度收支平衡。</w:t>
      </w:r>
      <w:bookmarkEnd w:id="73"/>
      <w:bookmarkEnd w:id="74"/>
    </w:p>
    <w:p w14:paraId="5EB95E72">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黑体" w:hAnsi="黑体" w:eastAsia="黑体" w:cs="黑体"/>
          <w:sz w:val="32"/>
          <w:szCs w:val="32"/>
        </w:rPr>
      </w:pPr>
      <w:bookmarkStart w:id="75" w:name="_Toc12532"/>
      <w:bookmarkStart w:id="76" w:name="_Toc31907"/>
      <w:bookmarkStart w:id="77" w:name="_Toc25756"/>
      <w:bookmarkStart w:id="78" w:name="_Toc24614"/>
      <w:r>
        <w:rPr>
          <w:rFonts w:hint="eastAsia" w:ascii="黑体" w:hAnsi="黑体" w:eastAsia="黑体" w:cs="黑体"/>
          <w:sz w:val="32"/>
          <w:szCs w:val="32"/>
          <w:lang w:val="en-US" w:eastAsia="zh-CN"/>
        </w:rPr>
        <w:t>五、</w:t>
      </w:r>
      <w:r>
        <w:rPr>
          <w:rFonts w:hint="eastAsia" w:ascii="黑体" w:hAnsi="黑体" w:eastAsia="黑体" w:cs="黑体"/>
          <w:sz w:val="32"/>
          <w:szCs w:val="32"/>
        </w:rPr>
        <w:t>有关建议</w:t>
      </w:r>
      <w:bookmarkEnd w:id="75"/>
      <w:bookmarkEnd w:id="76"/>
      <w:bookmarkEnd w:id="77"/>
      <w:bookmarkEnd w:id="78"/>
    </w:p>
    <w:p w14:paraId="343725D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lang w:val="en-US" w:eastAsia="zh-Hans"/>
        </w:rPr>
      </w:pPr>
      <w:bookmarkStart w:id="79" w:name="_Toc24534"/>
      <w:bookmarkStart w:id="80" w:name="_Toc8038"/>
      <w:bookmarkStart w:id="81" w:name="_Toc5144"/>
      <w:bookmarkStart w:id="82" w:name="_Toc2141"/>
      <w:r>
        <w:rPr>
          <w:rFonts w:hint="eastAsia" w:ascii="楷体_GB2312" w:hAnsi="楷体_GB2312" w:eastAsia="楷体_GB2312" w:cs="楷体_GB2312"/>
          <w:sz w:val="32"/>
          <w:szCs w:val="32"/>
          <w:lang w:val="en-US" w:eastAsia="zh-CN"/>
        </w:rPr>
        <w:t>（一）提高项目管理水平，加快项目决算进度</w:t>
      </w:r>
      <w:bookmarkEnd w:id="79"/>
      <w:bookmarkEnd w:id="80"/>
      <w:bookmarkEnd w:id="81"/>
      <w:bookmarkEnd w:id="82"/>
    </w:p>
    <w:p w14:paraId="251B2006">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Hans"/>
        </w:rPr>
      </w:pPr>
      <w:bookmarkStart w:id="83" w:name="_Toc16952"/>
      <w:bookmarkStart w:id="84" w:name="_Toc7782"/>
      <w:bookmarkStart w:id="85" w:name="_Toc13102"/>
      <w:bookmarkStart w:id="86" w:name="_Toc17832"/>
      <w:r>
        <w:rPr>
          <w:rFonts w:hint="eastAsia" w:ascii="Times New Roman" w:hAnsi="Times New Roman" w:eastAsia="仿宋_GB2312" w:cs="仿宋_GB2312"/>
          <w:sz w:val="32"/>
          <w:szCs w:val="32"/>
          <w:lang w:val="en-US" w:eastAsia="zh-Hans"/>
        </w:rPr>
        <w:t>项目单位应尽快进行工程竣工决算，</w:t>
      </w:r>
      <w:r>
        <w:rPr>
          <w:rFonts w:hint="eastAsia" w:ascii="Times New Roman" w:hAnsi="Times New Roman" w:eastAsia="仿宋_GB2312" w:cs="仿宋_GB2312"/>
          <w:sz w:val="32"/>
          <w:szCs w:val="32"/>
          <w:lang w:val="en-US" w:eastAsia="zh-CN"/>
        </w:rPr>
        <w:t>及时支付工程款项，并预留质量保证金。</w:t>
      </w:r>
      <w:r>
        <w:rPr>
          <w:rFonts w:hint="eastAsia" w:ascii="Times New Roman" w:hAnsi="Times New Roman" w:eastAsia="仿宋_GB2312" w:cs="仿宋_GB2312"/>
          <w:sz w:val="32"/>
          <w:szCs w:val="32"/>
          <w:lang w:val="en-US" w:eastAsia="zh-Hans"/>
        </w:rPr>
        <w:t>主管部门要加强项目验收工作，并对项目完成情况、完成质量进行考核与评估，提高项目管理水平，保障项目建设达到预期效果。如项目总投资超过批复概算10%以上的，应按照规定的审批程序进行变更审批。</w:t>
      </w:r>
      <w:bookmarkEnd w:id="83"/>
      <w:bookmarkEnd w:id="84"/>
      <w:bookmarkEnd w:id="85"/>
      <w:bookmarkEnd w:id="86"/>
    </w:p>
    <w:p w14:paraId="0F869571">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lang w:val="en-US" w:eastAsia="zh-CN"/>
        </w:rPr>
      </w:pPr>
      <w:bookmarkStart w:id="87" w:name="_Toc22351"/>
      <w:bookmarkStart w:id="88" w:name="_Toc18732"/>
      <w:bookmarkStart w:id="89" w:name="_Toc23069"/>
      <w:bookmarkStart w:id="90" w:name="_Toc32365"/>
      <w:r>
        <w:rPr>
          <w:rFonts w:hint="eastAsia" w:ascii="楷体_GB2312" w:hAnsi="楷体_GB2312" w:eastAsia="楷体_GB2312" w:cs="楷体_GB2312"/>
          <w:sz w:val="32"/>
          <w:szCs w:val="32"/>
          <w:lang w:val="en-US" w:eastAsia="zh-CN"/>
        </w:rPr>
        <w:t>（二）按照全过程绩效管理的要求，加强过程绩效监控</w:t>
      </w:r>
      <w:bookmarkEnd w:id="87"/>
      <w:bookmarkEnd w:id="88"/>
      <w:bookmarkEnd w:id="89"/>
      <w:bookmarkEnd w:id="90"/>
    </w:p>
    <w:p w14:paraId="23598F8C">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eastAsia="zh-CN"/>
        </w:rPr>
      </w:pPr>
      <w:bookmarkStart w:id="91" w:name="_Toc32037"/>
      <w:bookmarkStart w:id="92" w:name="_Toc3051"/>
      <w:bookmarkStart w:id="93" w:name="_Toc31256"/>
      <w:bookmarkStart w:id="94" w:name="_Toc31196"/>
      <w:r>
        <w:rPr>
          <w:rFonts w:hint="eastAsia" w:ascii="Times New Roman" w:hAnsi="Times New Roman" w:eastAsia="仿宋_GB2312" w:cs="仿宋_GB2312"/>
          <w:sz w:val="32"/>
          <w:szCs w:val="32"/>
          <w:lang w:val="en-US" w:eastAsia="zh-CN"/>
        </w:rPr>
        <w:t>建议各相关单位，严格按照中、省、市、县各级主管部门要求，</w:t>
      </w:r>
      <w:r>
        <w:rPr>
          <w:rFonts w:hint="eastAsia" w:ascii="Times New Roman" w:hAnsi="Times New Roman" w:eastAsia="仿宋_GB2312" w:cs="仿宋_GB2312"/>
          <w:sz w:val="32"/>
          <w:szCs w:val="32"/>
        </w:rPr>
        <w:t>按照“谁支出、谁负责”的原则，完善用款计划管理，对绩效目标实现程度和预算执行进度实行“双监控”，发现问题要分析原因并及时纠正</w:t>
      </w:r>
      <w:r>
        <w:rPr>
          <w:rFonts w:hint="eastAsia" w:ascii="Times New Roman" w:hAnsi="Times New Roman" w:eastAsia="仿宋_GB2312" w:cs="仿宋_GB2312"/>
          <w:sz w:val="32"/>
          <w:szCs w:val="32"/>
          <w:lang w:eastAsia="zh-CN"/>
        </w:rPr>
        <w:t>。</w:t>
      </w:r>
      <w:bookmarkEnd w:id="91"/>
      <w:bookmarkEnd w:id="92"/>
      <w:bookmarkEnd w:id="93"/>
      <w:bookmarkEnd w:id="94"/>
    </w:p>
    <w:p w14:paraId="65294A13">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lang w:val="en-US" w:eastAsia="zh-Hans"/>
        </w:rPr>
      </w:pPr>
      <w:bookmarkStart w:id="95" w:name="_Toc13998"/>
      <w:bookmarkStart w:id="96" w:name="_Toc19644"/>
      <w:bookmarkStart w:id="97" w:name="_Toc27197"/>
      <w:bookmarkStart w:id="98" w:name="_Toc5003"/>
      <w:r>
        <w:rPr>
          <w:rFonts w:hint="eastAsia" w:ascii="楷体_GB2312" w:hAnsi="楷体_GB2312" w:eastAsia="楷体_GB2312" w:cs="楷体_GB2312"/>
          <w:sz w:val="32"/>
          <w:szCs w:val="32"/>
          <w:lang w:val="en-US" w:eastAsia="zh-CN"/>
        </w:rPr>
        <w:t>（三）加强专项债券预算管理，确保项目按时还本付息</w:t>
      </w:r>
      <w:bookmarkEnd w:id="95"/>
      <w:bookmarkEnd w:id="96"/>
      <w:bookmarkEnd w:id="97"/>
      <w:bookmarkEnd w:id="98"/>
    </w:p>
    <w:p w14:paraId="07B29C44">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CN"/>
        </w:rPr>
      </w:pPr>
      <w:bookmarkStart w:id="99" w:name="_Toc23641"/>
      <w:bookmarkStart w:id="100" w:name="_Toc21567"/>
      <w:bookmarkStart w:id="101" w:name="_Toc24313"/>
      <w:bookmarkStart w:id="102" w:name="_Toc3028"/>
      <w:r>
        <w:rPr>
          <w:rFonts w:hint="eastAsia" w:ascii="Times New Roman" w:hAnsi="Times New Roman" w:eastAsia="仿宋_GB2312" w:cs="仿宋_GB2312"/>
          <w:sz w:val="32"/>
          <w:szCs w:val="32"/>
          <w:lang w:val="en-US" w:eastAsia="zh-CN"/>
        </w:rPr>
        <w:t>财政部门应加强对专项债券的预算管理工作，专项债券收支、还本付息和专项收入应纳入政府性基金预算管理；主管部门、项目实施单位应确保项目运行过程中按时还本付息。</w:t>
      </w:r>
      <w:bookmarkEnd w:id="99"/>
      <w:bookmarkEnd w:id="100"/>
      <w:bookmarkEnd w:id="101"/>
      <w:bookmarkEnd w:id="102"/>
    </w:p>
    <w:p w14:paraId="3A744805">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楷体_GB2312" w:hAnsi="楷体_GB2312" w:eastAsia="楷体_GB2312" w:cs="楷体_GB2312"/>
          <w:sz w:val="32"/>
          <w:szCs w:val="32"/>
          <w:lang w:val="en-US" w:eastAsia="zh-CN"/>
        </w:rPr>
      </w:pPr>
      <w:bookmarkStart w:id="103" w:name="_Toc14650"/>
      <w:bookmarkStart w:id="104" w:name="_Toc19842"/>
      <w:r>
        <w:rPr>
          <w:rFonts w:hint="eastAsia" w:ascii="楷体_GB2312" w:hAnsi="楷体_GB2312" w:eastAsia="楷体_GB2312" w:cs="楷体_GB2312"/>
          <w:sz w:val="32"/>
          <w:szCs w:val="32"/>
          <w:lang w:val="en-US" w:eastAsia="zh-CN"/>
        </w:rPr>
        <w:t>（四）建议项目单位尽快进行消防验收，验收合格后方可交付使用</w:t>
      </w:r>
      <w:bookmarkEnd w:id="103"/>
      <w:bookmarkEnd w:id="104"/>
    </w:p>
    <w:p w14:paraId="64AB2FE3">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CN"/>
        </w:rPr>
      </w:pPr>
      <w:bookmarkStart w:id="105" w:name="_Toc21557"/>
      <w:bookmarkStart w:id="106" w:name="_Toc6007"/>
      <w:r>
        <w:rPr>
          <w:rFonts w:hint="eastAsia" w:ascii="Times New Roman" w:hAnsi="Times New Roman" w:eastAsia="仿宋_GB2312" w:cs="仿宋_GB2312"/>
          <w:sz w:val="32"/>
          <w:szCs w:val="32"/>
          <w:lang w:val="en-US" w:eastAsia="zh-CN"/>
        </w:rPr>
        <w:t>特殊建设工程竣工验收后，建设单位应当向消防设计审查验收主管部门申请消防验收；未经消防验收或者消防验收不合格的，禁止投入使用。</w:t>
      </w:r>
      <w:bookmarkEnd w:id="105"/>
      <w:bookmarkEnd w:id="106"/>
    </w:p>
    <w:p w14:paraId="75B3A3C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楷体_GB2312" w:hAnsi="楷体_GB2312" w:eastAsia="楷体_GB2312" w:cs="楷体_GB2312"/>
          <w:sz w:val="32"/>
          <w:szCs w:val="32"/>
          <w:lang w:val="en-US" w:eastAsia="zh-Hans"/>
        </w:rPr>
      </w:pPr>
      <w:bookmarkStart w:id="107" w:name="_Toc10220"/>
      <w:bookmarkStart w:id="108" w:name="_Toc10493"/>
      <w:r>
        <w:rPr>
          <w:rFonts w:hint="eastAsia" w:ascii="楷体_GB2312" w:hAnsi="楷体_GB2312" w:eastAsia="楷体_GB2312" w:cs="楷体_GB2312"/>
          <w:sz w:val="32"/>
          <w:szCs w:val="32"/>
          <w:lang w:val="en-US" w:eastAsia="zh-CN"/>
        </w:rPr>
        <w:t>（五）加强后续资产管理，维持项目自身收支平衡</w:t>
      </w:r>
      <w:bookmarkEnd w:id="107"/>
      <w:bookmarkEnd w:id="108"/>
    </w:p>
    <w:p w14:paraId="4FA02C45">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近年来，各地园区建设力度增大，园区项目供应量大，库存增加，部分项目出现闲置情况。建议各相关部门多措并举，加大招商力度，确保建成项目发挥效益，维持项目自身收支平衡。</w:t>
      </w:r>
    </w:p>
    <w:p w14:paraId="621E2456">
      <w:pPr>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仿宋_GB2312"/>
          <w:snapToGrid/>
          <w:kern w:val="2"/>
          <w:sz w:val="32"/>
          <w:szCs w:val="32"/>
          <w:lang w:val="en-US" w:eastAsia="zh-CN"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2B7E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MmRmYTA5NGU0NDQ0ZTlkMzRlNWJlNTFlZWI4MDUifQ=="/>
  </w:docVars>
  <w:rsids>
    <w:rsidRoot w:val="00000000"/>
    <w:rsid w:val="0391535D"/>
    <w:rsid w:val="07C2760B"/>
    <w:rsid w:val="09F9539C"/>
    <w:rsid w:val="0AB77FE5"/>
    <w:rsid w:val="0B640F3B"/>
    <w:rsid w:val="0C6C454B"/>
    <w:rsid w:val="105772C0"/>
    <w:rsid w:val="10BF16E5"/>
    <w:rsid w:val="11905D1D"/>
    <w:rsid w:val="154047C7"/>
    <w:rsid w:val="1F824A45"/>
    <w:rsid w:val="20184D9A"/>
    <w:rsid w:val="213571AA"/>
    <w:rsid w:val="21724A7F"/>
    <w:rsid w:val="22780674"/>
    <w:rsid w:val="24BC729A"/>
    <w:rsid w:val="29B54D92"/>
    <w:rsid w:val="2B414161"/>
    <w:rsid w:val="2C222F5F"/>
    <w:rsid w:val="2CCE155D"/>
    <w:rsid w:val="2D93073E"/>
    <w:rsid w:val="2DC600DF"/>
    <w:rsid w:val="30BA449D"/>
    <w:rsid w:val="37400225"/>
    <w:rsid w:val="38D40BFF"/>
    <w:rsid w:val="399159E4"/>
    <w:rsid w:val="3A2A1F0A"/>
    <w:rsid w:val="3A2E6291"/>
    <w:rsid w:val="3A431D67"/>
    <w:rsid w:val="3B4C6936"/>
    <w:rsid w:val="464E69E7"/>
    <w:rsid w:val="4C70768E"/>
    <w:rsid w:val="4CDB4C2D"/>
    <w:rsid w:val="539A64F3"/>
    <w:rsid w:val="54471523"/>
    <w:rsid w:val="546F4F3A"/>
    <w:rsid w:val="54AB56D0"/>
    <w:rsid w:val="56384F6E"/>
    <w:rsid w:val="56E50F87"/>
    <w:rsid w:val="58153374"/>
    <w:rsid w:val="5CCF0EB8"/>
    <w:rsid w:val="5D3D68F2"/>
    <w:rsid w:val="5F4A1C98"/>
    <w:rsid w:val="629C16CB"/>
    <w:rsid w:val="63534F55"/>
    <w:rsid w:val="669464C0"/>
    <w:rsid w:val="6742110E"/>
    <w:rsid w:val="68DB4B78"/>
    <w:rsid w:val="69CC3C94"/>
    <w:rsid w:val="6D1E1BAB"/>
    <w:rsid w:val="6D6C2159"/>
    <w:rsid w:val="6EA83B27"/>
    <w:rsid w:val="6F42262A"/>
    <w:rsid w:val="70851AD8"/>
    <w:rsid w:val="70A03AAD"/>
    <w:rsid w:val="722D465F"/>
    <w:rsid w:val="7CC52305"/>
    <w:rsid w:val="7FE1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1"/>
    <w:next w:val="1"/>
    <w:qFormat/>
    <w:uiPriority w:val="0"/>
    <w:pPr>
      <w:spacing w:after="120"/>
      <w:ind w:leftChars="200" w:firstLine="420" w:firstLineChars="200"/>
    </w:pPr>
  </w:style>
  <w:style w:type="paragraph" w:customStyle="1" w:styleId="10">
    <w:name w:val="样式 首行缩进:  2 字符"/>
    <w:basedOn w:val="1"/>
    <w:autoRedefine/>
    <w:qFormat/>
    <w:uiPriority w:val="0"/>
    <w:pPr>
      <w:ind w:firstLine="560" w:firstLineChars="200"/>
    </w:pPr>
    <w:rPr>
      <w:rFonts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16729</Words>
  <Characters>17749</Characters>
  <Lines>0</Lines>
  <Paragraphs>0</Paragraphs>
  <TotalTime>16</TotalTime>
  <ScaleCrop>false</ScaleCrop>
  <LinksUpToDate>false</LinksUpToDate>
  <CharactersWithSpaces>17749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2024-10-05T08:23:00Z</dcterms:created>
  <dc:creator>Lenovo</dc:creator>
  <cp:lastModifiedBy>exquisite</cp:lastModifiedBy>
  <cp:lastPrinted>2024-11-01T00:31:00Z</cp:lastPrinted>
  <dcterms:modified xsi:type="dcterms:W3CDTF">2024-11-08T03:06:33Z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5E2B1A7A82DF4C1DA81A5AC94AD8F98D_12</vt:lpwstr>
  </property>
</Properties>
</file>