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9CD18">
      <w:pPr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outlineLvl w:val="9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西乡县市场监督管理局</w:t>
      </w:r>
    </w:p>
    <w:p w14:paraId="797F0F99">
      <w:pPr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outlineLvl w:val="9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部门整体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支出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绩效评价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报告</w:t>
      </w:r>
    </w:p>
    <w:p w14:paraId="5A123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29F42E3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223C77E4">
      <w:pPr>
        <w:pStyle w:val="5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left"/>
        <w:textAlignment w:val="auto"/>
        <w:rPr>
          <w:rFonts w:hint="eastAsia" w:ascii="黑体" w:hAnsi="黑体" w:eastAsia="楷体" w:cs="Times New Roman"/>
          <w:b w:val="0"/>
          <w:bCs/>
          <w:color w:val="auto"/>
          <w:sz w:val="32"/>
          <w:highlight w:val="none"/>
          <w:lang w:val="en-US" w:eastAsia="zh-CN"/>
        </w:rPr>
      </w:pPr>
      <w:bookmarkStart w:id="0" w:name="_Toc27349"/>
      <w:bookmarkStart w:id="1" w:name="_Toc10995"/>
      <w:bookmarkStart w:id="2" w:name="_Toc19770"/>
      <w:bookmarkStart w:id="3" w:name="_Toc1749"/>
      <w:bookmarkStart w:id="4" w:name="_Toc11130"/>
      <w:bookmarkStart w:id="5" w:name="_Toc32208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highlight w:val="none"/>
          <w:lang w:val="en-US" w:eastAsia="zh-CN"/>
        </w:rPr>
        <w:t>部门基本情况</w:t>
      </w:r>
      <w:bookmarkEnd w:id="0"/>
      <w:bookmarkEnd w:id="1"/>
      <w:bookmarkEnd w:id="2"/>
      <w:bookmarkEnd w:id="3"/>
      <w:bookmarkEnd w:id="4"/>
      <w:bookmarkEnd w:id="5"/>
    </w:p>
    <w:p w14:paraId="70628A00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1.主要职能</w:t>
      </w:r>
    </w:p>
    <w:p w14:paraId="51743D22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负责市场综合监督管理；负责市场主体信用监管；负责市场监管综合执法工作；负责监督管理市场秩序；负责宏观质量管理；负责产品质量安全监督管理；负责特种设备安全监督管理；负责食品安全监督管理综合协调；负责食品安全监督管理；负责药品、医疗器械、化妆品和保健用品监督管理；负责统一管理计量工作；负责统一管理标准化工作；统一管理产品质量认证认可与检验检测工作；负责知识产权与专利工作；负责指导非公经济组织党组织建设；负责市场监督管理科技和信息化建设工作；配合县行政审批服务局完成相对集中行政许可权改革工作。落实好行业监管责任，承担本行业领域的安全生产监管。</w:t>
      </w:r>
    </w:p>
    <w:p w14:paraId="4EB905BE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2.机构情况</w:t>
      </w:r>
    </w:p>
    <w:p w14:paraId="0F08FCA7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2024年度独立编制、核算的机构为2个，分别是西乡县市场监督管理局和西乡县食品药品检验检测中心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。</w:t>
      </w:r>
    </w:p>
    <w:p w14:paraId="635E6172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3.人员编制</w:t>
      </w:r>
    </w:p>
    <w:p w14:paraId="7C2E199B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2024年度年末实有人数为97人。与2023年度相比，减少17人，下降14.91%。</w:t>
      </w:r>
    </w:p>
    <w:p w14:paraId="530DA3BA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Hans" w:bidi="ar"/>
        </w:rPr>
        <w:t>.部门资产情况</w:t>
      </w:r>
    </w:p>
    <w:p w14:paraId="0C1AD3F6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根据《西乡县市场监督管理局固定资产明细表》，截至2024年底，固定资产净值957万元。</w:t>
      </w:r>
    </w:p>
    <w:p w14:paraId="31DD967D">
      <w:pPr>
        <w:pStyle w:val="5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bookmarkStart w:id="6" w:name="_Toc1796"/>
      <w:bookmarkStart w:id="7" w:name="_Toc2972"/>
      <w:bookmarkStart w:id="8" w:name="_Toc22829"/>
      <w:bookmarkStart w:id="9" w:name="_Toc7598"/>
      <w:bookmarkStart w:id="10" w:name="_Toc14401"/>
      <w:bookmarkStart w:id="11" w:name="_Toc18125"/>
      <w:bookmarkStart w:id="12" w:name="_Toc9759"/>
      <w:bookmarkStart w:id="13" w:name="_Toc3197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Hans" w:bidi="ar-SA"/>
        </w:rPr>
        <w:t>二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）部门管理制度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53C8B54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西乡县市场监督管理局制定有预算管理制度、财务管理制度、内部控制制度及资产管理制度等。</w:t>
      </w:r>
    </w:p>
    <w:p w14:paraId="79310E6C">
      <w:pPr>
        <w:pStyle w:val="5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bookmarkStart w:id="14" w:name="_Toc14286"/>
      <w:bookmarkStart w:id="15" w:name="_Toc3876"/>
      <w:bookmarkStart w:id="16" w:name="_Toc8115"/>
      <w:bookmarkStart w:id="17" w:name="_Toc19639"/>
      <w:bookmarkStart w:id="18" w:name="_Toc8352"/>
      <w:bookmarkStart w:id="19" w:name="_Toc1626"/>
      <w:bookmarkStart w:id="20" w:name="_Toc20282"/>
      <w:bookmarkStart w:id="21" w:name="_Toc2245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Hans" w:bidi="ar-SA"/>
        </w:rPr>
        <w:t>三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）部门预算资金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511781AB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1.2024年度部门收入预决算情况</w:t>
      </w:r>
    </w:p>
    <w:p w14:paraId="731EABBE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根据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zh-CN" w:eastAsia="zh-CN" w:bidi="ar"/>
        </w:rPr>
        <w:t>西乡县市场监督管理局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2024年度部门决算表及当年预算执行情况表，收入年初预算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1,491.10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万元，其中：一般公共预算财政拨款收入年初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1,491.10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万元。</w:t>
      </w:r>
    </w:p>
    <w:p w14:paraId="492D4B9C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2024年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zh-CN" w:eastAsia="zh-CN" w:bidi="ar"/>
        </w:rPr>
        <w:t>西乡县市场监督管理局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收入决算数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1,837.76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万元，其中：一般公共预算财政拨款收入决算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1,837.76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万元。</w:t>
      </w:r>
    </w:p>
    <w:p w14:paraId="30C83C78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2.2024年度部门支出预决算情况</w:t>
      </w:r>
    </w:p>
    <w:p w14:paraId="5737DF49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zh-CN" w:eastAsia="zh-CN" w:bidi="ar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2024年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zh-CN" w:eastAsia="zh-CN" w:bidi="ar"/>
        </w:rPr>
        <w:t>西乡县市场监督管理局部门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整体支出年初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zh-CN" w:eastAsia="zh-CN" w:bidi="ar"/>
        </w:rPr>
        <w:t>预算数为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  <w:highlight w:val="none"/>
          <w:rtl w:val="0"/>
          <w:lang w:val="en-US" w:eastAsia="zh-CN" w:bidi="ar"/>
        </w:rPr>
        <w:t>1,491.10</w:t>
      </w:r>
      <w:r>
        <w:rPr>
          <w:rFonts w:hint="default" w:ascii="Times New Roman" w:hAnsi="Times New Roman" w:eastAsia="仿宋_GB2312" w:cs="仿宋_GB2312"/>
          <w:spacing w:val="-11"/>
          <w:sz w:val="32"/>
          <w:szCs w:val="32"/>
          <w:highlight w:val="none"/>
          <w:rtl w:val="0"/>
          <w:lang w:val="zh-CN" w:eastAsia="zh-CN" w:bidi="ar"/>
        </w:rPr>
        <w:t>万元，其中：基本支出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  <w:highlight w:val="none"/>
          <w:rtl w:val="0"/>
          <w:lang w:val="en-US" w:eastAsia="zh-CN" w:bidi="ar"/>
        </w:rPr>
        <w:t>1,337.30</w:t>
      </w:r>
      <w:r>
        <w:rPr>
          <w:rFonts w:hint="default" w:ascii="Times New Roman" w:hAnsi="Times New Roman" w:eastAsia="仿宋_GB2312" w:cs="仿宋_GB2312"/>
          <w:spacing w:val="-11"/>
          <w:sz w:val="32"/>
          <w:szCs w:val="32"/>
          <w:highlight w:val="none"/>
          <w:rtl w:val="0"/>
          <w:lang w:val="zh-CN" w:eastAsia="zh-CN" w:bidi="ar"/>
        </w:rPr>
        <w:t>万元，项目支出</w:t>
      </w:r>
      <w:r>
        <w:rPr>
          <w:rFonts w:hint="default" w:ascii="Times New Roman" w:hAnsi="Times New Roman" w:eastAsia="仿宋_GB2312" w:cs="仿宋_GB2312"/>
          <w:spacing w:val="-11"/>
          <w:sz w:val="32"/>
          <w:szCs w:val="32"/>
          <w:highlight w:val="none"/>
          <w:rtl w:val="0"/>
          <w:lang w:val="en-US" w:eastAsia="zh-CN" w:bidi="ar"/>
        </w:rPr>
        <w:t>153.80</w:t>
      </w:r>
      <w:r>
        <w:rPr>
          <w:rFonts w:hint="default" w:ascii="Times New Roman" w:hAnsi="Times New Roman" w:eastAsia="仿宋_GB2312" w:cs="仿宋_GB2312"/>
          <w:spacing w:val="-11"/>
          <w:sz w:val="32"/>
          <w:szCs w:val="32"/>
          <w:highlight w:val="none"/>
          <w:rtl w:val="0"/>
          <w:lang w:val="zh-CN" w:eastAsia="zh-CN" w:bidi="ar"/>
        </w:rPr>
        <w:t>万元。</w:t>
      </w:r>
    </w:p>
    <w:p w14:paraId="6B13E6B3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西乡县市场监督管理局全年支出决算1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,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837.76万元，其中：基本支出1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,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471.26万元，项目支出366.50万元。</w:t>
      </w:r>
    </w:p>
    <w:p w14:paraId="5B2F6CE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二、综合评价结论</w:t>
      </w:r>
    </w:p>
    <w:p w14:paraId="7A68673B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评价期间，西乡县市场监督管理局在业务开展和社会效益方面取得较好成效。该局履职工作及时高效完成，西乡县市场秩序保持平稳有序，发展环境持续向好。</w:t>
      </w:r>
    </w:p>
    <w:p w14:paraId="27CEE937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但该部门在部门决策、资产管理及绩效管理方面仍存在一定短板。预算绩效管理要求未严格执行，影响后续资金使用与绩效评价工作的有效开展；预算编制细化不足，科学性准确性有待提升；因单位机构合并，资产自机构改革至2025年7月尚未清理，其中1980年购置的资产仍显示在用状态，资产管理有效性不足。</w:t>
      </w:r>
    </w:p>
    <w:p w14:paraId="5CA17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_GB2312" w:cs="仿宋_GB2312"/>
          <w:b/>
          <w:bCs/>
          <w:sz w:val="28"/>
          <w:szCs w:val="28"/>
          <w:highlight w:val="none"/>
        </w:rPr>
        <w:t>表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</w:rPr>
        <w:t>2</w:t>
      </w:r>
      <w:r>
        <w:rPr>
          <w:rFonts w:ascii="Times New Roman" w:hAnsi="Times New Roman" w:eastAsia="仿宋_GB2312" w:cs="仿宋_GB2312"/>
          <w:b/>
          <w:bCs/>
          <w:sz w:val="28"/>
          <w:szCs w:val="28"/>
          <w:highlight w:val="none"/>
        </w:rPr>
        <w:t>-1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  <w:lang w:val="en-US" w:eastAsia="zh-CN"/>
        </w:rPr>
        <w:t>2024</w:t>
      </w:r>
      <w:r>
        <w:rPr>
          <w:rFonts w:ascii="Times New Roman" w:hAnsi="Times New Roman" w:eastAsia="仿宋_GB2312" w:cs="仿宋_GB2312"/>
          <w:b/>
          <w:bCs/>
          <w:sz w:val="28"/>
          <w:szCs w:val="28"/>
          <w:highlight w:val="none"/>
        </w:rPr>
        <w:t>年度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  <w:lang w:val="en-US" w:eastAsia="zh-CN"/>
        </w:rPr>
        <w:t>西乡县市场监督管理局</w:t>
      </w:r>
    </w:p>
    <w:p w14:paraId="70309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  <w:lang w:val="en-US" w:eastAsia="zh-CN"/>
        </w:rPr>
        <w:t>部门整体绩效评价</w:t>
      </w:r>
      <w:r>
        <w:rPr>
          <w:rFonts w:ascii="Times New Roman" w:hAnsi="Times New Roman" w:eastAsia="仿宋_GB2312" w:cs="仿宋_GB2312"/>
          <w:b/>
          <w:bCs/>
          <w:sz w:val="28"/>
          <w:szCs w:val="28"/>
          <w:highlight w:val="none"/>
        </w:rPr>
        <w:t>指标评分表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1"/>
        <w:gridCol w:w="2212"/>
        <w:gridCol w:w="2212"/>
        <w:gridCol w:w="2226"/>
      </w:tblGrid>
      <w:tr w14:paraId="6769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16BD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一级指标</w:t>
            </w:r>
          </w:p>
        </w:tc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C8BB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分值</w:t>
            </w:r>
          </w:p>
        </w:tc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9DB6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得分</w:t>
            </w:r>
          </w:p>
        </w:tc>
        <w:tc>
          <w:tcPr>
            <w:tcW w:w="1253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80C8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得分率</w:t>
            </w:r>
          </w:p>
        </w:tc>
      </w:tr>
      <w:tr w14:paraId="68DD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BA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投入</w:t>
            </w:r>
          </w:p>
        </w:tc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93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07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1253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2B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49.33%</w:t>
            </w:r>
          </w:p>
        </w:tc>
      </w:tr>
      <w:tr w14:paraId="1F32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F7F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过程</w:t>
            </w:r>
          </w:p>
        </w:tc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B1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F43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253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CB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80.00%</w:t>
            </w:r>
          </w:p>
        </w:tc>
      </w:tr>
      <w:tr w14:paraId="19E3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22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产出</w:t>
            </w:r>
          </w:p>
        </w:tc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08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1E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253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BD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100.00%</w:t>
            </w:r>
          </w:p>
        </w:tc>
      </w:tr>
      <w:tr w14:paraId="3EB7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411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效果</w:t>
            </w:r>
          </w:p>
        </w:tc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A5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EE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253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C3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100.00%</w:t>
            </w:r>
          </w:p>
        </w:tc>
      </w:tr>
      <w:tr w14:paraId="3480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F2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D6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248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3B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253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9A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87.40%</w:t>
            </w:r>
          </w:p>
        </w:tc>
      </w:tr>
      <w:tr w14:paraId="79F3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5000" w:type="pct"/>
            <w:gridSpan w:val="4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858A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绩效评价得分：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  <w:lang w:val="en-US" w:eastAsia="zh-CN"/>
              </w:rPr>
              <w:t>87.40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 xml:space="preserve">   综合评价结果等级：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  <w:lang w:val="en-US" w:eastAsia="zh-CN"/>
              </w:rPr>
              <w:t>良</w:t>
            </w:r>
          </w:p>
        </w:tc>
      </w:tr>
    </w:tbl>
    <w:p w14:paraId="3E35EDD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三、存在的问题</w:t>
      </w:r>
    </w:p>
    <w:p w14:paraId="5FDBFF36">
      <w:pPr>
        <w:pStyle w:val="5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bookmarkStart w:id="22" w:name="_Toc9537"/>
      <w:bookmarkStart w:id="23" w:name="_Toc11926"/>
      <w:bookmarkStart w:id="24" w:name="_Toc16481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（一）未严格落实预算绩效管理要求</w:t>
      </w:r>
      <w:bookmarkEnd w:id="22"/>
      <w:bookmarkEnd w:id="23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，难以有效指导后续的资金使用和绩效评价工作</w:t>
      </w:r>
      <w:bookmarkEnd w:id="24"/>
    </w:p>
    <w:p w14:paraId="11EC4605">
      <w:pPr>
        <w:pageBreakBefore w:val="0"/>
        <w:kinsoku/>
        <w:wordWrap/>
        <w:autoSpaceDN/>
        <w:bidi w:val="0"/>
        <w:snapToGrid w:val="0"/>
        <w:spacing w:line="578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一是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目标设置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方面，所设定的5项绩效目标未能全面涵盖17项职责中的重点工作内容，年度任务计划及责任分解不够具体详实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rtl w:val="0"/>
          <w:lang w:val="en-US" w:eastAsia="zh-CN" w:bidi="ar"/>
        </w:rPr>
        <w:t>绩效指标设定不够清晰，未能将部门整体绩效目标有效分解为可操作的具体工作任务。二是自评分析论证的合理性有待提升，佐证依据尚不充分，绩效监控报告指标分析依据不充分，且未按规定开展部门绩效评价工作。</w:t>
      </w:r>
    </w:p>
    <w:p w14:paraId="4666A31F">
      <w:pPr>
        <w:pStyle w:val="5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bookmarkStart w:id="25" w:name="_Toc17242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（二）部门决策规范性不足，年度计划明确性有待提升</w:t>
      </w:r>
      <w:bookmarkEnd w:id="25"/>
    </w:p>
    <w:p w14:paraId="4D20B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预算编制依据不充分，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6"/>
          <w:sz w:val="32"/>
          <w:szCs w:val="32"/>
          <w:highlight w:val="none"/>
          <w:lang w:val="en-US" w:eastAsia="zh-CN"/>
        </w:rPr>
        <w:t>经费测算未体现相关依据标准，预算编制细化程度不足。二是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部分工作任务表述较为宏观，缺乏具体可操作的实施路径和衡量标准；对关键任务的时间节点、责任分工、资源配置等要素未作充分细化；未能全面覆盖部门所有关键职能领域，个别常态化工作的计划安排略显薄弱。</w:t>
      </w:r>
    </w:p>
    <w:p w14:paraId="7C44EC70">
      <w:pPr>
        <w:pStyle w:val="5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bookmarkStart w:id="26" w:name="_Toc23997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（三）资产长期未清理，管理有待完善</w:t>
      </w:r>
      <w:bookmarkEnd w:id="26"/>
    </w:p>
    <w:p w14:paraId="68A03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因单位机构合并，资产清理工作自机构改革以来至2025年7月尚未完成，部分1980年购置的资产仍显示在用状态；存在实物资产长期积压堆放、未及时处置的情况；对已报废固定资产未及时进行账务核销，导致账账不符、账实不符等问题。</w:t>
      </w:r>
    </w:p>
    <w:p w14:paraId="2BF12EE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四、有关建议</w:t>
      </w:r>
    </w:p>
    <w:p w14:paraId="2C76B2FE">
      <w:pPr>
        <w:pStyle w:val="5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bookmarkStart w:id="27" w:name="_Toc18674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（一）严格落实预算绩效管理要求，加强绩效管理对工作方向的引领作用</w:t>
      </w:r>
      <w:bookmarkEnd w:id="27"/>
    </w:p>
    <w:p w14:paraId="3205D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一是在指标设置方面，从县委、县政府或本部门在相关领域明确制定的目标、规划、计划及工作要求中提炼绩效指标，覆盖部门重点任务。二是在落实全过程管理方面，严格执行“</w:t>
      </w:r>
      <w:r>
        <w:rPr>
          <w:rFonts w:hint="default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预算编制有目标、预算执行有监控、预算完成有评价、评价结果有反馈、反馈结果有应用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”管理机制，</w:t>
      </w:r>
      <w:r>
        <w:rPr>
          <w:rFonts w:hint="default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推进预算绩效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管理工作。三是在</w:t>
      </w:r>
      <w:bookmarkStart w:id="30" w:name="_GoBack"/>
      <w:bookmarkEnd w:id="30"/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管理提升方面，组织开展内部培训，加强跨部门经验交流。</w:t>
      </w:r>
    </w:p>
    <w:p w14:paraId="37202A54">
      <w:pPr>
        <w:pStyle w:val="5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bookmarkStart w:id="28" w:name="_Toc26856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加强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部门决策规范性，提升</w:t>
      </w:r>
      <w:r>
        <w:rPr>
          <w:rFonts w:hint="default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预算编制科学性，强化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成本预</w:t>
      </w:r>
      <w:r>
        <w:rPr>
          <w:rFonts w:hint="default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算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绩效</w:t>
      </w:r>
      <w:bookmarkEnd w:id="28"/>
    </w:p>
    <w:p w14:paraId="1587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t>一是切实加强数据收集与分析工作，</w:t>
      </w:r>
      <w:r>
        <w:rPr>
          <w:rFonts w:hint="default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引入成本管控闭环模式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t>建立健全预算审核机制；二是细化年度工作计划，明确实施路径与量化标准，确保任务落地可执行，全面覆盖职能领域，强化常态化工作纳入。</w:t>
      </w:r>
    </w:p>
    <w:p w14:paraId="70646476">
      <w:pPr>
        <w:pStyle w:val="5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left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bookmarkStart w:id="29" w:name="_Toc16457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（三）加强资产清查管理，提高资产利用</w:t>
      </w:r>
      <w:bookmarkEnd w:id="29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24"/>
          <w:lang w:val="en-US" w:eastAsia="zh-CN" w:bidi="ar-SA"/>
        </w:rPr>
        <w:t>效能</w:t>
      </w:r>
    </w:p>
    <w:p w14:paraId="0837A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t>一是成立资产清理专项小组，组织开展全面清查工作，对所有资产实施逐一清点，</w:t>
      </w:r>
      <w:r>
        <w:rPr>
          <w:rFonts w:hint="default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逐项登记资产状态，优先内部调剂闲置资源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。二是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t>着力构建长效机制。健全“谁使用、谁管理、谁负责”的资产管理责任体系，</w:t>
      </w:r>
      <w:r>
        <w:rPr>
          <w:rFonts w:hint="default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推行资产全周期数字化管理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执行年度全面盘点+季度抽查制度，避免前清后乱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t>。</w:t>
      </w:r>
    </w:p>
    <w:p w14:paraId="15E1254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420" w:firstLineChars="200"/>
        <w:rPr>
          <w:rFonts w:hint="eastAsia" w:eastAsia="仿宋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62C9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5EE05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5EE05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B3CDC"/>
    <w:rsid w:val="04E95120"/>
    <w:rsid w:val="0AC11941"/>
    <w:rsid w:val="0DEA139C"/>
    <w:rsid w:val="19085126"/>
    <w:rsid w:val="28C248A6"/>
    <w:rsid w:val="2BCA23E3"/>
    <w:rsid w:val="2D5D05FB"/>
    <w:rsid w:val="36EB3CDC"/>
    <w:rsid w:val="3A0835CC"/>
    <w:rsid w:val="3FBD701E"/>
    <w:rsid w:val="5E175AFB"/>
    <w:rsid w:val="67784CC7"/>
    <w:rsid w:val="6FD7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6">
    <w:name w:val="Body Text"/>
    <w:basedOn w:val="1"/>
    <w:unhideWhenUsed/>
    <w:qFormat/>
    <w:uiPriority w:val="99"/>
    <w:pPr>
      <w:tabs>
        <w:tab w:val="left" w:pos="0"/>
      </w:tabs>
    </w:pPr>
    <w:rPr>
      <w:rFonts w:ascii="宋体" w:hAnsi="宋体" w:eastAsia="仿宋_GB2312"/>
      <w:color w:val="00000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9d0e5619-5cfa-4b84-81cc-a64c2fb1ff67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11EC4605</paraID>
      <start>54</start>
      <end>56</end>
      <status>unmodified</status>
      <modifiedWord/>
      <trackRevisions>false</trackRevisions>
    </reviewItem>
    <reviewItem>
      <errorID>566e6dd1-da9e-44b1-af93-3c6b07121109</errorID>
      <errorWord>未作充分</errorWord>
      <group>L1_Word</group>
      <groupName>字词问题</groupName>
      <ability>L2_Typo</ability>
      <abilityName>字词错误</abilityName>
      <candidateList>
        <item>未做充分</item>
      </candidateList>
      <explain/>
      <paraID>4D20BA48</paraID>
      <start>93</start>
      <end>97</end>
      <status>unmodified</status>
      <modifiedWord/>
      <trackRevisions>false</trackRevisions>
    </reviewItem>
    <reviewItem>
      <errorID>3d94d1cd-19b8-4063-b7c3-926c67fee75e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68A0339A</paraID>
      <start>96</start>
      <end>98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4fade7-e5f4-4a54-aa8d-2ded65c05b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1956</Words>
  <Characters>2158</Characters>
  <Lines>0</Lines>
  <Paragraphs>0</Paragraphs>
  <TotalTime>26</TotalTime>
  <ScaleCrop>false</ScaleCrop>
  <LinksUpToDate>false</LinksUpToDate>
  <CharactersWithSpaces>2172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2025-12-05T01:48:00Z</dcterms:created>
  <dc:creator>A</dc:creator>
  <cp:lastModifiedBy>半柜书</cp:lastModifiedBy>
  <dcterms:modified xsi:type="dcterms:W3CDTF">2025-12-16T08:49:06Z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A5D17673191745F788974C7FC429D1A8_13</vt:lpwstr>
  </property>
  <property fmtid="{D5CDD505-2E9C-101B-9397-08002B2CF9AE}" pid="4" name="KSOTemplateDocerSaveRecord">
    <vt:lpwstr>eyJoZGlkIjoiNzdjYjRmMmYyOGRhY2M2Y2UzNGE5NmE3NzhkN2ViZmQiLCJ1c2VySWQiOiIyNzA3ODY0OTAifQ==</vt:lpwstr>
  </property>
</Properties>
</file>