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7E715">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2024年度财政衔接资金项目</w:t>
      </w:r>
    </w:p>
    <w:p w14:paraId="6455D60A">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rPr>
        <w:t>绩效评价</w:t>
      </w:r>
      <w:r>
        <w:rPr>
          <w:rFonts w:hint="eastAsia" w:ascii="Times New Roman" w:hAnsi="Times New Roman" w:eastAsia="方正小标宋简体" w:cs="方正小标宋简体"/>
          <w:sz w:val="44"/>
          <w:szCs w:val="44"/>
          <w:lang w:val="en-US" w:eastAsia="zh-CN"/>
        </w:rPr>
        <w:t>报告</w:t>
      </w:r>
    </w:p>
    <w:p w14:paraId="18BB29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sz w:val="32"/>
          <w:szCs w:val="32"/>
          <w:highlight w:val="none"/>
        </w:rPr>
      </w:pPr>
    </w:p>
    <w:p w14:paraId="29F42E3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一、基本情况</w:t>
      </w:r>
    </w:p>
    <w:p w14:paraId="015F206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default" w:ascii="Times New Roman" w:hAnsi="Times New Roman" w:eastAsia="仿宋_GB2312" w:cs="仿宋_GB2312"/>
          <w:sz w:val="32"/>
          <w:szCs w:val="32"/>
          <w:highlight w:val="none"/>
          <w:lang w:val="en-US" w:eastAsia="zh-CN"/>
        </w:rPr>
      </w:pPr>
      <w:r>
        <w:rPr>
          <w:rFonts w:hint="eastAsia" w:ascii="楷体_GB2312" w:hAnsi="楷体_GB2312" w:eastAsia="楷体_GB2312" w:cs="楷体_GB2312"/>
          <w:b w:val="0"/>
          <w:bCs w:val="0"/>
          <w:sz w:val="32"/>
          <w:szCs w:val="32"/>
          <w:lang w:val="en-US" w:eastAsia="zh-CN"/>
        </w:rPr>
        <w:t>（一）项目基本情况</w:t>
      </w:r>
    </w:p>
    <w:p w14:paraId="3F16D435">
      <w:pPr>
        <w:keepNext w:val="0"/>
        <w:keepLines w:val="0"/>
        <w:pageBreakBefore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color w:val="000000"/>
          <w:sz w:val="32"/>
          <w:szCs w:val="32"/>
          <w:lang w:val="en-US" w:eastAsia="zh-CN"/>
        </w:rPr>
        <w:t>2024年度西乡县财政衔接资金用以实施桑园镇四合村林下千亩魔芋种植项目、沙河镇星火村共用建筑屋顶分布式光伏发电建设项目以及农村供水维修养护项目。属于国家支持衔接推进乡村振兴中“培育和壮大欠发达地区特色优势产业并逐年提高资金占比，支持农业品种培优、品质提升、品牌打造。”和“补齐必要的农村人居环境整治和小型公益性基础设施建设短板。主要包括水、电、路、网等农业生产配套设施。”的主要领域，项目实施在推动西乡县特色产业发展及提升人民群众经济收入与生活环境水平方面意义重大。</w:t>
      </w:r>
      <w:r>
        <w:rPr>
          <w:rFonts w:hint="eastAsia" w:ascii="Times New Roman" w:hAnsi="Times New Roman" w:eastAsia="仿宋_GB2312" w:cs="仿宋_GB2312"/>
          <w:sz w:val="32"/>
          <w:szCs w:val="32"/>
          <w:highlight w:val="none"/>
          <w:lang w:val="en-US" w:eastAsia="zh-CN"/>
        </w:rPr>
        <w:t>项目实施内容如下</w:t>
      </w:r>
      <w:r>
        <w:rPr>
          <w:rFonts w:hint="default" w:ascii="Times New Roman" w:hAnsi="Times New Roman" w:eastAsia="仿宋_GB2312" w:cs="仿宋_GB2312"/>
          <w:sz w:val="32"/>
          <w:szCs w:val="32"/>
          <w:highlight w:val="none"/>
          <w:lang w:val="en-US" w:eastAsia="zh-CN"/>
        </w:rPr>
        <w:t>：</w:t>
      </w:r>
    </w:p>
    <w:p w14:paraId="6B23AB71">
      <w:pPr>
        <w:pStyle w:val="2"/>
        <w:numPr>
          <w:ilvl w:val="0"/>
          <w:numId w:val="0"/>
        </w:numPr>
        <w:ind w:firstLine="640" w:firstLineChars="200"/>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kern w:val="2"/>
          <w:sz w:val="32"/>
          <w:szCs w:val="32"/>
          <w:lang w:val="en-US" w:eastAsia="zh-CN" w:bidi="ar-SA"/>
        </w:rPr>
        <w:t>1.</w:t>
      </w:r>
      <w:r>
        <w:rPr>
          <w:rFonts w:hint="eastAsia" w:ascii="Times New Roman" w:hAnsi="Times New Roman" w:eastAsia="仿宋_GB2312" w:cs="仿宋_GB2312"/>
          <w:color w:val="000000"/>
          <w:sz w:val="32"/>
          <w:szCs w:val="32"/>
          <w:lang w:val="en-US" w:eastAsia="zh-CN"/>
        </w:rPr>
        <w:t>桑园镇四合村林下千亩魔芋种植项目：项目已完成种植林下魔芋1000亩并完成宽2米、长9.8公里生产道路建设，生产道路建设工程于2024年9月26日开工，2024年10月20日竣工并通过竣工验收。林下魔芋种植工程2024年9月24日开工，2024年10月29日竣工并通过竣工验收。</w:t>
      </w:r>
    </w:p>
    <w:p w14:paraId="76D76F7A">
      <w:pPr>
        <w:pStyle w:val="2"/>
        <w:numPr>
          <w:ilvl w:val="0"/>
          <w:numId w:val="0"/>
        </w:numPr>
        <w:ind w:firstLine="640" w:firstLineChars="200"/>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2.沙河镇星火村共用建筑屋顶分布式光伏发电建设项目：项目已完成新建装机容量约351kW的太阳能屋顶分布式光伏发电系统的建设。项目于2025年3月26日开工，2025年6月16日竣工，并已通过竣工验收。</w:t>
      </w:r>
    </w:p>
    <w:p w14:paraId="49C2A088">
      <w:pPr>
        <w:keepNext w:val="0"/>
        <w:keepLines w:val="0"/>
        <w:pageBreakBefore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color w:val="000000"/>
          <w:sz w:val="32"/>
          <w:szCs w:val="32"/>
          <w:lang w:val="en-US" w:eastAsia="zh-CN"/>
        </w:rPr>
        <w:t>西乡县农村供水维修养护项目：项目已完成17个镇农村饮水安全工程设施设备维修、更新改造项目及灾害损毁工程</w:t>
      </w:r>
      <w:r>
        <w:rPr>
          <w:rFonts w:hint="eastAsia" w:ascii="Times New Roman" w:hAnsi="Times New Roman" w:eastAsia="仿宋_GB2312" w:cs="仿宋_GB2312"/>
          <w:sz w:val="32"/>
          <w:szCs w:val="32"/>
          <w:highlight w:val="none"/>
        </w:rPr>
        <w:t>。</w:t>
      </w:r>
    </w:p>
    <w:p w14:paraId="0AD0E5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（二）资金投入和使用情况</w:t>
      </w:r>
    </w:p>
    <w:p w14:paraId="1489F700">
      <w:pPr>
        <w:keepNext w:val="0"/>
        <w:keepLines w:val="0"/>
        <w:pageBreakBefore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color w:val="000000"/>
          <w:sz w:val="32"/>
          <w:szCs w:val="32"/>
          <w:lang w:val="en-US" w:eastAsia="zh-CN"/>
        </w:rPr>
        <w:t>2024年度3个财政衔接资金项目总预算资金为458.36万元，截至评价期，衔接资金共支出433.28万元，预算执行率94.53%</w:t>
      </w:r>
      <w:r>
        <w:rPr>
          <w:rFonts w:hint="eastAsia" w:ascii="Times New Roman" w:hAnsi="Times New Roman" w:eastAsia="仿宋_GB2312" w:cs="仿宋_GB2312"/>
          <w:sz w:val="32"/>
          <w:szCs w:val="32"/>
          <w:highlight w:val="none"/>
          <w:lang w:val="en-US" w:eastAsia="zh-CN"/>
        </w:rPr>
        <w:t>。</w:t>
      </w:r>
    </w:p>
    <w:p w14:paraId="5B2F6C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二、综合评价结论</w:t>
      </w:r>
    </w:p>
    <w:p w14:paraId="27CEE937">
      <w:pPr>
        <w:keepNext w:val="0"/>
        <w:keepLines w:val="0"/>
        <w:pageBreakBefore w:val="0"/>
        <w:kinsoku/>
        <w:wordWrap/>
        <w:overflowPunct/>
        <w:topLinePunct w:val="0"/>
        <w:autoSpaceDE/>
        <w:autoSpaceDN/>
        <w:bidi w:val="0"/>
        <w:adjustRightInd/>
        <w:snapToGrid/>
        <w:spacing w:line="578"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评价组通过核查资料和现场调研，从决策、过程、产出、效益四个维度综合评价</w:t>
      </w:r>
      <w:r>
        <w:rPr>
          <w:rFonts w:hint="eastAsia" w:ascii="Times New Roman" w:hAnsi="Times New Roman" w:cs="仿宋_GB2312"/>
          <w:sz w:val="32"/>
          <w:szCs w:val="32"/>
          <w:highlight w:val="none"/>
          <w:lang w:val="en-US" w:eastAsia="zh-CN"/>
        </w:rPr>
        <w:t>2024年度财政衔接资金</w:t>
      </w:r>
      <w:r>
        <w:rPr>
          <w:rFonts w:hint="eastAsia" w:ascii="Times New Roman" w:hAnsi="Times New Roman" w:eastAsia="仿宋_GB2312" w:cs="仿宋_GB2312"/>
          <w:sz w:val="32"/>
          <w:szCs w:val="32"/>
          <w:highlight w:val="none"/>
          <w:lang w:val="en-US" w:eastAsia="zh-CN"/>
        </w:rPr>
        <w:t>。总体上该项目立项依据充分、立项程序规范、预算编制科学、</w:t>
      </w:r>
      <w:r>
        <w:rPr>
          <w:rFonts w:hint="eastAsia" w:ascii="Times New Roman" w:hAnsi="Times New Roman" w:cs="仿宋_GB2312"/>
          <w:sz w:val="32"/>
          <w:szCs w:val="32"/>
          <w:highlight w:val="none"/>
          <w:lang w:val="en-US" w:eastAsia="zh-CN"/>
        </w:rPr>
        <w:t>产出数量达标，社会效益明显</w:t>
      </w:r>
      <w:r>
        <w:rPr>
          <w:rFonts w:hint="eastAsia" w:ascii="Times New Roman" w:hAnsi="Times New Roman" w:eastAsia="仿宋_GB2312" w:cs="仿宋_GB2312"/>
          <w:sz w:val="32"/>
          <w:szCs w:val="32"/>
          <w:highlight w:val="none"/>
          <w:lang w:val="en-US" w:eastAsia="zh-CN"/>
        </w:rPr>
        <w:t>，但存在绩效目标编制不够合理、</w:t>
      </w:r>
      <w:r>
        <w:rPr>
          <w:rFonts w:hint="eastAsia" w:ascii="Times New Roman" w:hAnsi="Times New Roman" w:cs="仿宋_GB2312"/>
          <w:sz w:val="32"/>
          <w:szCs w:val="32"/>
          <w:highlight w:val="none"/>
          <w:lang w:val="en-US" w:eastAsia="zh-CN"/>
        </w:rPr>
        <w:t>管理制度不够健全</w:t>
      </w:r>
      <w:r>
        <w:rPr>
          <w:rFonts w:hint="eastAsia" w:ascii="Times New Roman" w:hAnsi="Times New Roman" w:eastAsia="仿宋_GB2312" w:cs="仿宋_GB2312"/>
          <w:sz w:val="32"/>
          <w:szCs w:val="32"/>
          <w:highlight w:val="none"/>
          <w:lang w:val="en-US" w:eastAsia="zh-CN"/>
        </w:rPr>
        <w:t>、项目完成不够及时等问题。经综合分析，该项目的绩效评价得分为</w:t>
      </w:r>
      <w:r>
        <w:rPr>
          <w:rFonts w:hint="eastAsia" w:ascii="Times New Roman" w:hAnsi="Times New Roman" w:cs="仿宋_GB2312"/>
          <w:sz w:val="32"/>
          <w:szCs w:val="32"/>
          <w:highlight w:val="none"/>
          <w:lang w:val="en-US" w:eastAsia="zh-CN"/>
        </w:rPr>
        <w:t>85.4</w:t>
      </w:r>
      <w:r>
        <w:rPr>
          <w:rFonts w:hint="eastAsia" w:ascii="Times New Roman" w:hAnsi="Times New Roman" w:eastAsia="仿宋_GB2312" w:cs="仿宋_GB2312"/>
          <w:sz w:val="32"/>
          <w:szCs w:val="32"/>
          <w:highlight w:val="none"/>
          <w:lang w:val="en-US" w:eastAsia="zh-CN"/>
        </w:rPr>
        <w:t>分，综合评级为“良”</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具体见下表：</w:t>
      </w:r>
    </w:p>
    <w:p w14:paraId="40931EEA">
      <w:pPr>
        <w:pStyle w:val="2"/>
        <w:keepNext w:val="0"/>
        <w:keepLines w:val="0"/>
        <w:pageBreakBefore w:val="0"/>
        <w:widowControl w:val="0"/>
        <w:kinsoku/>
        <w:wordWrap/>
        <w:overflowPunct/>
        <w:topLinePunct w:val="0"/>
        <w:autoSpaceDE/>
        <w:autoSpaceDN/>
        <w:bidi w:val="0"/>
        <w:adjustRightInd/>
        <w:snapToGrid/>
        <w:spacing w:line="200" w:lineRule="exact"/>
        <w:ind w:firstLine="420"/>
        <w:textAlignment w:val="auto"/>
        <w:rPr>
          <w:rFonts w:hint="default"/>
          <w:lang w:val="en-US" w:eastAsia="zh-CN"/>
        </w:rPr>
      </w:pP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04"/>
        <w:gridCol w:w="2427"/>
        <w:gridCol w:w="1770"/>
        <w:gridCol w:w="1856"/>
      </w:tblGrid>
      <w:tr w14:paraId="37F4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2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7A566BE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一级指标</w:t>
            </w:r>
          </w:p>
        </w:tc>
        <w:tc>
          <w:tcPr>
            <w:tcW w:w="2283"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5653F0F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分值</w:t>
            </w:r>
          </w:p>
        </w:tc>
        <w:tc>
          <w:tcPr>
            <w:tcW w:w="166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AB2957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得分</w:t>
            </w:r>
          </w:p>
        </w:tc>
        <w:tc>
          <w:tcPr>
            <w:tcW w:w="174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78006EC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得分率</w:t>
            </w:r>
          </w:p>
        </w:tc>
      </w:tr>
      <w:tr w14:paraId="77B7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4AD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决策</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754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16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7F34">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lang w:val="en-US"/>
              </w:rPr>
            </w:pPr>
            <w:r>
              <w:rPr>
                <w:rFonts w:hint="eastAsia" w:ascii="Times New Roman" w:hAnsi="Times New Roman" w:eastAsia="仿宋" w:cs="仿宋"/>
                <w:color w:val="000000"/>
                <w:kern w:val="0"/>
                <w:sz w:val="24"/>
                <w:szCs w:val="24"/>
                <w:lang w:val="en-US" w:eastAsia="zh-CN" w:bidi="ar"/>
              </w:rPr>
              <w:t>14.35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130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89.69%</w:t>
            </w:r>
          </w:p>
        </w:tc>
      </w:tr>
      <w:tr w14:paraId="096F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862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过程</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CF5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20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777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lang w:val="en-US"/>
              </w:rPr>
            </w:pPr>
            <w:r>
              <w:rPr>
                <w:rFonts w:hint="eastAsia" w:ascii="Times New Roman" w:hAnsi="Times New Roman" w:eastAsia="仿宋" w:cs="仿宋"/>
                <w:color w:val="000000"/>
                <w:kern w:val="0"/>
                <w:sz w:val="24"/>
                <w:szCs w:val="24"/>
                <w:lang w:val="en-US" w:eastAsia="zh-CN" w:bidi="ar"/>
              </w:rPr>
              <w:t>16.65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B49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83.25%</w:t>
            </w:r>
          </w:p>
        </w:tc>
      </w:tr>
      <w:tr w14:paraId="3A2F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003A">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产出</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3C74">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30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248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24.5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5EF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81.67%</w:t>
            </w:r>
          </w:p>
        </w:tc>
      </w:tr>
      <w:tr w14:paraId="1992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FE4A">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效益</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987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34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AFF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29.9</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1C4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87.94%</w:t>
            </w:r>
          </w:p>
        </w:tc>
      </w:tr>
      <w:tr w14:paraId="0915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632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合计</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485A">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549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lang w:val="en-US"/>
              </w:rPr>
            </w:pPr>
            <w:r>
              <w:rPr>
                <w:rFonts w:hint="eastAsia" w:ascii="Times New Roman" w:hAnsi="Times New Roman" w:eastAsia="仿宋" w:cs="仿宋"/>
                <w:color w:val="000000"/>
                <w:kern w:val="0"/>
                <w:sz w:val="24"/>
                <w:szCs w:val="24"/>
                <w:lang w:val="en-US" w:eastAsia="zh-CN" w:bidi="ar"/>
              </w:rPr>
              <w:t>85.4</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D574">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85.4%</w:t>
            </w:r>
          </w:p>
        </w:tc>
      </w:tr>
      <w:tr w14:paraId="2033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5DA9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 w:cs="仿宋"/>
                <w:color w:val="000000"/>
                <w:kern w:val="0"/>
                <w:sz w:val="24"/>
                <w:szCs w:val="24"/>
                <w:lang w:val="en-US" w:eastAsia="zh-CN" w:bidi="ar"/>
              </w:rPr>
              <w:t>绩效评价得分：85.4分   综合评价结果等级：良</w:t>
            </w:r>
          </w:p>
        </w:tc>
      </w:tr>
    </w:tbl>
    <w:p w14:paraId="2653325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Times New Roman" w:hAnsi="Times New Roman" w:eastAsia="黑体" w:cs="黑体"/>
          <w:sz w:val="32"/>
          <w:szCs w:val="32"/>
          <w:highlight w:val="none"/>
        </w:rPr>
      </w:pPr>
    </w:p>
    <w:p w14:paraId="63D34E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val="en-US" w:eastAsia="zh-CN"/>
        </w:rPr>
        <w:t>三</w:t>
      </w:r>
      <w:r>
        <w:rPr>
          <w:rFonts w:hint="eastAsia" w:ascii="Times New Roman" w:hAnsi="Times New Roman" w:eastAsia="黑体" w:cs="黑体"/>
          <w:sz w:val="32"/>
          <w:szCs w:val="32"/>
          <w:highlight w:val="none"/>
        </w:rPr>
        <w:t>、主要经验及做法</w:t>
      </w:r>
      <w:bookmarkStart w:id="8" w:name="_GoBack"/>
      <w:bookmarkEnd w:id="8"/>
    </w:p>
    <w:p w14:paraId="7037CD6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Times New Roman" w:hAnsi="Times New Roman" w:eastAsia="楷体_GB2312" w:cs="楷体_GB2312"/>
          <w:b w:val="0"/>
          <w:bCs w:val="0"/>
          <w:kern w:val="2"/>
          <w:sz w:val="32"/>
          <w:szCs w:val="32"/>
          <w:lang w:val="en-US" w:eastAsia="zh-CN" w:bidi="ar-SA"/>
        </w:rPr>
      </w:pPr>
      <w:bookmarkStart w:id="0" w:name="_Toc11989"/>
      <w:r>
        <w:rPr>
          <w:rFonts w:hint="eastAsia" w:ascii="Times New Roman" w:hAnsi="Times New Roman" w:eastAsia="楷体_GB2312" w:cs="楷体_GB2312"/>
          <w:b w:val="0"/>
          <w:bCs w:val="0"/>
          <w:kern w:val="2"/>
          <w:sz w:val="32"/>
          <w:szCs w:val="32"/>
          <w:lang w:val="en-US" w:eastAsia="zh-CN" w:bidi="ar-SA"/>
        </w:rPr>
        <w:t>（一）合理利用土地资源，提高村民经济收入</w:t>
      </w:r>
      <w:bookmarkEnd w:id="0"/>
    </w:p>
    <w:p w14:paraId="071CA6CD">
      <w:pPr>
        <w:keepNext w:val="0"/>
        <w:keepLines w:val="0"/>
        <w:pageBreakBefore w:val="0"/>
        <w:kinsoku/>
        <w:wordWrap/>
        <w:overflowPunct/>
        <w:topLinePunct w:val="0"/>
        <w:autoSpaceDE/>
        <w:autoSpaceDN/>
        <w:bidi w:val="0"/>
        <w:adjustRightInd/>
        <w:snapToGrid/>
        <w:spacing w:line="578"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桑园镇四合村经济合作社与新型经营主体合作，在二组富家沟发展1000亩林下魔芋种植项目，是合理利用土地资源、带动村民增收的典型实践。项目依托林下空间开展种植，不额外占用耕地，实现林地资源的立体化开发，打破传统单一林业经营模式，提升了土地单位面积的综合效益，符合资源节约与高效利用的发展方向。项目以工代赈的方式直接带动15户脱贫劳动力共35人参与，有效巩固了脱贫成果，同时，按财政衔接资金总额5%向四合村经济合作社分红的机制，既保障了村集体资产收益，又为村集体后续反哺民生、发展其他产业奠定基础，形成“资源利用—就业增收—集体壮大”的良性循环，对类似农村地区依托本地资源发展特色产业、促进共同富裕具有参考意义。</w:t>
      </w:r>
    </w:p>
    <w:p w14:paraId="1C8D312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Times New Roman" w:hAnsi="Times New Roman" w:eastAsia="楷体_GB2312" w:cs="楷体_GB2312"/>
          <w:b w:val="0"/>
          <w:bCs w:val="0"/>
          <w:kern w:val="2"/>
          <w:sz w:val="32"/>
          <w:szCs w:val="32"/>
          <w:lang w:val="en-US" w:eastAsia="zh-CN" w:bidi="ar-SA"/>
        </w:rPr>
      </w:pPr>
      <w:bookmarkStart w:id="1" w:name="_Toc22360"/>
      <w:r>
        <w:rPr>
          <w:rFonts w:hint="eastAsia" w:ascii="Times New Roman" w:hAnsi="Times New Roman" w:eastAsia="楷体_GB2312" w:cs="楷体_GB2312"/>
          <w:b w:val="0"/>
          <w:bCs w:val="0"/>
          <w:kern w:val="2"/>
          <w:sz w:val="32"/>
          <w:szCs w:val="32"/>
          <w:lang w:val="en-US" w:eastAsia="zh-CN" w:bidi="ar-SA"/>
        </w:rPr>
        <w:t>（二）维护供水设施，有效保障居民饮水安全</w:t>
      </w:r>
      <w:bookmarkEnd w:id="1"/>
    </w:p>
    <w:p w14:paraId="6252C89F">
      <w:pPr>
        <w:keepNext w:val="0"/>
        <w:keepLines w:val="0"/>
        <w:pageBreakBefore w:val="0"/>
        <w:kinsoku/>
        <w:wordWrap/>
        <w:overflowPunct/>
        <w:topLinePunct w:val="0"/>
        <w:autoSpaceDE/>
        <w:autoSpaceDN/>
        <w:bidi w:val="0"/>
        <w:adjustRightInd/>
        <w:snapToGrid/>
        <w:spacing w:line="578" w:lineRule="exact"/>
        <w:ind w:firstLine="64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2024年西乡县水利局及各镇办对</w:t>
      </w:r>
      <w:r>
        <w:rPr>
          <w:rFonts w:hint="default" w:ascii="Times New Roman" w:hAnsi="Times New Roman" w:eastAsia="仿宋_GB2312" w:cs="仿宋_GB2312"/>
          <w:sz w:val="32"/>
          <w:szCs w:val="32"/>
          <w:lang w:val="en-US" w:eastAsia="zh-CN"/>
        </w:rPr>
        <w:t>农村供水工程开展维修养护，并实施茶镇集镇水厂标准化改造，是完善供水设施、筑牢饮水安全防线的关键举措。从供水设施维护来看，项目全面补齐农村供水设施短板，解决了设施老化、功能退化等问题，提升了供水系统的稳定性与可靠性。从居民饮水安全保障来看，项目直接覆盖并保障30余万人饮水需求，实施后实现全县水质安全0事故，既切实守护了群众身体健康，又为农村生产生活秩序稳定提供了基础支撑。该项目通过</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设施维修+重点改造</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的组合方式，构建起农村饮水安全保障长效机制，为县域内农村供水工程管护、保障居民基本生活需求提供了可复制的实践经验，对推进乡村基础设施建设、提升民生保障水平具有重要价值。</w:t>
      </w:r>
    </w:p>
    <w:p w14:paraId="3E35ED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五、存在的问题</w:t>
      </w:r>
    </w:p>
    <w:p w14:paraId="0D56EA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default" w:ascii="Times New Roman" w:hAnsi="Times New Roman" w:eastAsia="楷体_GB2312" w:cs="楷体_GB2312"/>
          <w:b w:val="0"/>
          <w:bCs w:val="0"/>
          <w:kern w:val="2"/>
          <w:sz w:val="32"/>
          <w:szCs w:val="32"/>
          <w:lang w:val="en-US" w:eastAsia="zh-CN" w:bidi="ar-SA"/>
        </w:rPr>
      </w:pPr>
      <w:bookmarkStart w:id="2" w:name="_Toc161"/>
      <w:r>
        <w:rPr>
          <w:rFonts w:hint="eastAsia" w:ascii="Times New Roman" w:hAnsi="Times New Roman" w:eastAsia="楷体_GB2312" w:cs="楷体_GB2312"/>
          <w:b w:val="0"/>
          <w:bCs w:val="0"/>
          <w:kern w:val="2"/>
          <w:sz w:val="32"/>
          <w:szCs w:val="32"/>
          <w:lang w:val="en-US" w:eastAsia="zh-CN" w:bidi="ar-SA"/>
        </w:rPr>
        <w:t>（一）项目进度相对滞后，完工不够及时</w:t>
      </w:r>
      <w:bookmarkEnd w:id="2"/>
    </w:p>
    <w:p w14:paraId="6840F579">
      <w:pPr>
        <w:keepNext w:val="0"/>
        <w:keepLines w:val="0"/>
        <w:pageBreakBefore w:val="0"/>
        <w:kinsoku/>
        <w:wordWrap/>
        <w:overflowPunct/>
        <w:topLinePunct w:val="0"/>
        <w:autoSpaceDE/>
        <w:autoSpaceDN/>
        <w:bidi w:val="0"/>
        <w:adjustRightInd/>
        <w:snapToGrid/>
        <w:spacing w:line="578" w:lineRule="exact"/>
        <w:ind w:firstLine="64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是桑园镇四合村林下千亩魔芋种植项目实际工期与合同约定不符。二是沙河镇星火村共用建筑屋顶分布式光伏发电建设项目开竣工时间与合同约定不符。三是西乡县茶镇集镇水厂标准化改造项目实际竣工日期晚于合同约定。</w:t>
      </w:r>
    </w:p>
    <w:p w14:paraId="4420BD7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default" w:ascii="Times New Roman" w:hAnsi="Times New Roman" w:eastAsia="楷体_GB2312" w:cs="楷体_GB2312"/>
          <w:b w:val="0"/>
          <w:bCs w:val="0"/>
          <w:kern w:val="2"/>
          <w:sz w:val="32"/>
          <w:szCs w:val="32"/>
          <w:lang w:val="en-US" w:eastAsia="zh-CN" w:bidi="ar-SA"/>
        </w:rPr>
      </w:pPr>
      <w:bookmarkStart w:id="3" w:name="_Toc11691"/>
      <w:r>
        <w:rPr>
          <w:rFonts w:hint="eastAsia" w:ascii="Times New Roman" w:hAnsi="Times New Roman" w:eastAsia="楷体_GB2312" w:cs="楷体_GB2312"/>
          <w:b w:val="0"/>
          <w:bCs w:val="0"/>
          <w:kern w:val="2"/>
          <w:sz w:val="32"/>
          <w:szCs w:val="32"/>
          <w:lang w:val="en-US" w:eastAsia="zh-CN" w:bidi="ar-SA"/>
        </w:rPr>
        <w:t>（二）项目管理存在疏漏，个别项目资产未移交</w:t>
      </w:r>
      <w:bookmarkEnd w:id="3"/>
    </w:p>
    <w:p w14:paraId="2347085C">
      <w:pPr>
        <w:keepNext w:val="0"/>
        <w:keepLines w:val="0"/>
        <w:pageBreakBefore w:val="0"/>
        <w:kinsoku/>
        <w:wordWrap/>
        <w:overflowPunct/>
        <w:topLinePunct w:val="0"/>
        <w:autoSpaceDE/>
        <w:autoSpaceDN/>
        <w:bidi w:val="0"/>
        <w:adjustRightInd/>
        <w:snapToGrid/>
        <w:spacing w:line="578" w:lineRule="exact"/>
        <w:ind w:firstLine="640"/>
        <w:rPr>
          <w:rFonts w:hint="default"/>
          <w:lang w:val="en-US" w:eastAsia="zh-CN"/>
        </w:rPr>
      </w:pPr>
      <w:r>
        <w:rPr>
          <w:rFonts w:hint="eastAsia" w:ascii="Times New Roman" w:hAnsi="Times New Roman" w:eastAsia="仿宋_GB2312" w:cs="仿宋_GB2312"/>
          <w:sz w:val="32"/>
          <w:szCs w:val="32"/>
          <w:lang w:val="en-US" w:eastAsia="zh-CN"/>
        </w:rPr>
        <w:t>一是管理制度不够健全。相关部门未在内部针对各项目制定专门财务与业务管理制度，且沙河镇星火村共用建筑屋顶分布式光伏发电建设项目未提供项目实施方案。二是部分合同条款及要素不明确、不清晰、不合理、不完整，影响合同履约规范性。三是资产移交及管护机制未落实。沙河镇星火村共用建筑屋顶分布式光伏发电建设项目暂未完成资产移交，未明确项目资产管护责任主体及具体管护职责，导致项目管护机制不健全，不利于后续资产运营维护。</w:t>
      </w:r>
    </w:p>
    <w:p w14:paraId="3DE6E29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default" w:ascii="Times New Roman" w:hAnsi="Times New Roman" w:eastAsia="楷体_GB2312" w:cs="楷体_GB2312"/>
          <w:b w:val="0"/>
          <w:bCs w:val="0"/>
          <w:kern w:val="2"/>
          <w:sz w:val="32"/>
          <w:szCs w:val="32"/>
          <w:lang w:val="en-US" w:eastAsia="zh-CN" w:bidi="ar-SA"/>
        </w:rPr>
      </w:pPr>
      <w:bookmarkStart w:id="4" w:name="_Toc32158"/>
      <w:r>
        <w:rPr>
          <w:rFonts w:hint="eastAsia" w:ascii="Times New Roman" w:hAnsi="Times New Roman" w:eastAsia="楷体_GB2312" w:cs="楷体_GB2312"/>
          <w:b w:val="0"/>
          <w:bCs w:val="0"/>
          <w:kern w:val="2"/>
          <w:sz w:val="32"/>
          <w:szCs w:val="32"/>
          <w:lang w:val="en-US" w:eastAsia="zh-CN" w:bidi="ar-SA"/>
        </w:rPr>
        <w:t>（三）绩效目标不够完整，绩效指标不够合理</w:t>
      </w:r>
      <w:bookmarkEnd w:id="4"/>
    </w:p>
    <w:p w14:paraId="0F61ED0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一是</w:t>
      </w:r>
      <w:r>
        <w:rPr>
          <w:rFonts w:hint="eastAsia" w:ascii="Times New Roman" w:hAnsi="Times New Roman" w:eastAsia="仿宋_GB2312" w:cs="仿宋_GB2312"/>
          <w:kern w:val="2"/>
          <w:sz w:val="32"/>
          <w:szCs w:val="32"/>
          <w:highlight w:val="none"/>
          <w:lang w:val="en-US" w:eastAsia="zh-CN" w:bidi="ar-SA"/>
        </w:rPr>
        <w:t>林下魔芋种植项目和农村供水维修养护项目</w:t>
      </w:r>
      <w:r>
        <w:rPr>
          <w:rFonts w:hint="eastAsia" w:ascii="Times New Roman" w:hAnsi="Times New Roman" w:eastAsia="仿宋_GB2312" w:cs="仿宋_GB2312"/>
          <w:kern w:val="2"/>
          <w:sz w:val="32"/>
          <w:szCs w:val="32"/>
          <w:highlight w:val="none"/>
          <w:lang w:val="en-US" w:eastAsia="zh-CN" w:bidi="ar-SA"/>
        </w:rPr>
        <w:t>绩效目标与实际工作内容不完全匹配；二是</w:t>
      </w:r>
      <w:r>
        <w:rPr>
          <w:rFonts w:hint="eastAsia" w:ascii="Times New Roman" w:hAnsi="Times New Roman" w:eastAsia="仿宋_GB2312" w:cs="仿宋_GB2312"/>
          <w:kern w:val="2"/>
          <w:sz w:val="32"/>
          <w:szCs w:val="32"/>
          <w:highlight w:val="none"/>
          <w:lang w:val="en-US" w:eastAsia="zh-CN" w:bidi="ar-SA"/>
        </w:rPr>
        <w:t>屋顶分布式光伏发电建设项目</w:t>
      </w:r>
      <w:r>
        <w:rPr>
          <w:rFonts w:hint="eastAsia" w:ascii="Times New Roman" w:hAnsi="Times New Roman" w:eastAsia="仿宋_GB2312" w:cs="仿宋_GB2312"/>
          <w:kern w:val="2"/>
          <w:sz w:val="32"/>
          <w:szCs w:val="32"/>
          <w:highlight w:val="none"/>
          <w:lang w:val="en-US" w:eastAsia="zh-CN" w:bidi="ar-SA"/>
        </w:rPr>
        <w:t>绩效目标未体现项目的预期产出或效益；三是农村供水维修养护项目部分指标设置不合理</w:t>
      </w:r>
      <w:r>
        <w:rPr>
          <w:rFonts w:hint="eastAsia" w:ascii="Times New Roman" w:hAnsi="Times New Roman" w:cs="仿宋_GB2312"/>
          <w:kern w:val="2"/>
          <w:sz w:val="32"/>
          <w:szCs w:val="32"/>
          <w:highlight w:val="none"/>
          <w:lang w:val="en-US" w:eastAsia="zh-CN" w:bidi="ar-SA"/>
        </w:rPr>
        <w:t>。</w:t>
      </w:r>
    </w:p>
    <w:p w14:paraId="2BF12EE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六、有关建议</w:t>
      </w:r>
    </w:p>
    <w:p w14:paraId="4059DBC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default" w:ascii="Times New Roman" w:hAnsi="Times New Roman" w:eastAsia="楷体_GB2312" w:cs="楷体_GB2312"/>
          <w:b w:val="0"/>
          <w:bCs w:val="0"/>
          <w:kern w:val="2"/>
          <w:sz w:val="32"/>
          <w:szCs w:val="32"/>
          <w:lang w:val="en-US" w:eastAsia="zh-CN" w:bidi="ar-SA"/>
        </w:rPr>
      </w:pPr>
      <w:bookmarkStart w:id="5" w:name="_Toc11747"/>
      <w:r>
        <w:rPr>
          <w:rFonts w:hint="eastAsia" w:ascii="Times New Roman" w:hAnsi="Times New Roman" w:eastAsia="楷体_GB2312" w:cs="楷体_GB2312"/>
          <w:b w:val="0"/>
          <w:bCs w:val="0"/>
          <w:kern w:val="2"/>
          <w:sz w:val="32"/>
          <w:szCs w:val="32"/>
          <w:lang w:val="en-US" w:eastAsia="zh-CN" w:bidi="ar-SA"/>
        </w:rPr>
        <w:t>（一）严格控制项目工期，合理规划项目进度</w:t>
      </w:r>
      <w:bookmarkEnd w:id="5"/>
    </w:p>
    <w:p w14:paraId="7A903A39">
      <w:pPr>
        <w:pStyle w:val="2"/>
        <w:ind w:left="0" w:leftChars="0"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一是强化前期统筹规划。科学制定工期计划，合同中明确进度管控条款，细化开工、竣工节点及滞后违约责任，夯实管理基础。二是加强过程动态监管。建立“周调度、月通报”机制，及时处置进度滞后问题；督促施工方制定应急预案，防范材料供应、天气等风险。三是压实各方责任。明确建设、施工、监理三方职责，监理全程跟踪关键节点，将进度履约与资金拨付挂钩，落实奖惩措施。四是完善验收衔接。提前梳理验收流程及材料清单，项目收尾阶段指导施工方备齐资料，确保完工后及时闭环。</w:t>
      </w:r>
    </w:p>
    <w:p w14:paraId="05128D6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default" w:ascii="Times New Roman" w:hAnsi="Times New Roman" w:eastAsia="楷体_GB2312" w:cs="楷体_GB2312"/>
          <w:b w:val="0"/>
          <w:bCs w:val="0"/>
          <w:kern w:val="2"/>
          <w:sz w:val="32"/>
          <w:szCs w:val="32"/>
          <w:lang w:val="en-US" w:eastAsia="zh-CN" w:bidi="ar-SA"/>
        </w:rPr>
      </w:pPr>
      <w:bookmarkStart w:id="6" w:name="_Toc21136"/>
      <w:r>
        <w:rPr>
          <w:rFonts w:hint="eastAsia" w:ascii="Times New Roman" w:hAnsi="Times New Roman" w:eastAsia="楷体_GB2312" w:cs="楷体_GB2312"/>
          <w:b w:val="0"/>
          <w:bCs w:val="0"/>
          <w:kern w:val="2"/>
          <w:sz w:val="32"/>
          <w:szCs w:val="32"/>
          <w:lang w:val="en-US" w:eastAsia="zh-CN" w:bidi="ar-SA"/>
        </w:rPr>
        <w:t>（二）提高项目管理规范性，完善资产移交机制</w:t>
      </w:r>
      <w:bookmarkEnd w:id="6"/>
    </w:p>
    <w:p w14:paraId="5754D0A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一是健全项目管理制度体系。由主管部门牵头，督促相关部门结合职责，针对财政衔接资金项目制定</w:t>
      </w:r>
      <w:r>
        <w:rPr>
          <w:rFonts w:hint="default" w:ascii="Times New Roman" w:hAnsi="Times New Roman" w:eastAsia="仿宋_GB2312" w:cs="仿宋_GB2312"/>
          <w:sz w:val="32"/>
          <w:szCs w:val="32"/>
          <w:highlight w:val="none"/>
          <w:lang w:val="en-US" w:eastAsia="zh-CN"/>
        </w:rPr>
        <w:t>专项财务管理制度及业务操作规范，明确项目立项、实施、验收全流程管理要求；严格落实项目实施方案编制要求，区分光伏发电、种植等不同项目类型，明确建设内容、进度计划、资金使用等必备要素，未提交合规方案的项目不得开工，确保项目实施有章可循。</w:t>
      </w:r>
    </w:p>
    <w:p w14:paraId="3E9FD41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二是规范合同条款与要素管理。统一明确款项支付、履约期限、责任划分、验收标准等核心要素，要求各项目签约时参照执行；建立合同审核机制，由法务、财务人员审查条款合规性与完整性，重点核查支付方式、违约责任等关键内容，避免因条款问题影响项目履约。</w:t>
      </w:r>
    </w:p>
    <w:p w14:paraId="68C1DA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三是推进资产移交与管护机制落地。优先推动沙河镇星火村光伏发电项目资产移交，明确移交主体、接收单位及移交流程，限时完成资产清点、资料交接；同步建立资产管护机制，签订管护协议，明确管护责任主体、管护内容、经费来源及考核标准，定期开展管护情况检查，确保项目资产长期稳定发挥效益。</w:t>
      </w:r>
    </w:p>
    <w:p w14:paraId="019B8C7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default" w:ascii="Times New Roman" w:hAnsi="Times New Roman" w:eastAsia="楷体_GB2312" w:cs="楷体_GB2312"/>
          <w:b w:val="0"/>
          <w:bCs w:val="0"/>
          <w:kern w:val="2"/>
          <w:sz w:val="32"/>
          <w:szCs w:val="32"/>
          <w:lang w:val="en-US" w:eastAsia="zh-CN" w:bidi="ar-SA"/>
        </w:rPr>
      </w:pPr>
      <w:bookmarkStart w:id="7" w:name="_Toc12583"/>
      <w:r>
        <w:rPr>
          <w:rFonts w:hint="eastAsia" w:ascii="Times New Roman" w:hAnsi="Times New Roman" w:eastAsia="楷体_GB2312" w:cs="楷体_GB2312"/>
          <w:b w:val="0"/>
          <w:bCs w:val="0"/>
          <w:kern w:val="2"/>
          <w:sz w:val="32"/>
          <w:szCs w:val="32"/>
          <w:lang w:val="en-US" w:eastAsia="zh-CN" w:bidi="ar-SA"/>
        </w:rPr>
        <w:t>（三）规范编制绩效目标，提高绩效指标合理性</w:t>
      </w:r>
      <w:bookmarkEnd w:id="7"/>
    </w:p>
    <w:p w14:paraId="5336449E">
      <w:pPr>
        <w:pStyle w:val="2"/>
        <w:ind w:left="0" w:leftChars="0" w:firstLine="640" w:firstLineChars="20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一方面应加强对项目的预算绩效管理，并在编制绩效目标时应充分考虑项目预算资金与目标任务、预计产生收益的相关性，提高绩效目标与实际工作内容的匹配度，设置科学、合理、全面的绩效目标。另一方面应根据项目绩效目标合理设置对应的绩效指标，将绩效指标充分细化、量化，使绩效指标通过清晰、可衡量的指标值予以体现。</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5C9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BB1E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0BB1E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B3CDC"/>
    <w:rsid w:val="11460115"/>
    <w:rsid w:val="202E0AD6"/>
    <w:rsid w:val="36EB3CDC"/>
    <w:rsid w:val="398F0E2D"/>
    <w:rsid w:val="50612CA6"/>
    <w:rsid w:val="76DA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unhideWhenUsed/>
    <w:qFormat/>
    <w:uiPriority w:val="99"/>
    <w:pPr>
      <w:ind w:firstLine="540"/>
    </w:pPr>
    <w:rPr>
      <w:rFonts w:ascii="仿宋_GB2312" w:eastAsia="仿宋_GB2312"/>
      <w:sz w:val="28"/>
      <w:szCs w:val="20"/>
    </w:rPr>
  </w:style>
  <w:style w:type="paragraph" w:styleId="4">
    <w:name w:val="Body Text"/>
    <w:basedOn w:val="1"/>
    <w:unhideWhenUsed/>
    <w:qFormat/>
    <w:uiPriority w:val="99"/>
    <w:pPr>
      <w:tabs>
        <w:tab w:val="left" w:pos="0"/>
      </w:tabs>
    </w:pPr>
    <w:rPr>
      <w:rFonts w:ascii="宋体" w:hAnsi="宋体" w:eastAsia="仿宋_GB2312"/>
      <w:color w:val="00000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2742</Words>
  <Characters>2871</Characters>
  <Lines>0</Lines>
  <Paragraphs>0</Paragraphs>
  <TotalTime>0</TotalTime>
  <ScaleCrop>false</ScaleCrop>
  <LinksUpToDate>false</LinksUpToDate>
  <CharactersWithSpaces>2874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2025-12-05T01:48:00Z</dcterms:created>
  <dc:creator>A</dc:creator>
  <cp:lastModifiedBy>exquisite</cp:lastModifiedBy>
  <dcterms:modified xsi:type="dcterms:W3CDTF">2025-12-22T02:55:15Z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E95AE8166724446FAC5596E4C2EEA7D0_11</vt:lpwstr>
  </property>
  <property fmtid="{D5CDD505-2E9C-101B-9397-08002B2CF9AE}" pid="4" name="KSOTemplateDocerSaveRecord">
    <vt:lpwstr>eyJoZGlkIjoiZmIxMmRmYTA5NGU0NDQ0ZTlkMzRlNWJlNTFlZWI4MDUiLCJ1c2VySWQiOiI0MzIwMDYxOTQifQ==</vt:lpwstr>
  </property>
</Properties>
</file>