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75573">
      <w:pPr>
        <w:keepNext w:val="0"/>
        <w:keepLines w:val="0"/>
        <w:pageBreakBefore w:val="0"/>
        <w:widowControl w:val="0"/>
        <w:kinsoku/>
        <w:wordWrap/>
        <w:overflowPunct/>
        <w:topLinePunct w:val="0"/>
        <w:autoSpaceDE/>
        <w:autoSpaceDN/>
        <w:bidi w:val="0"/>
        <w:adjustRightInd/>
        <w:snapToGrid/>
        <w:spacing w:line="578" w:lineRule="exact"/>
        <w:ind w:left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color w:val="000000"/>
          <w:sz w:val="44"/>
          <w:szCs w:val="44"/>
        </w:rPr>
        <w:t>2024年度重点优抚对象抚恤补助及农村籍年满60周岁退役军人老年生活补助项目</w:t>
      </w:r>
    </w:p>
    <w:p w14:paraId="5D75DCA4">
      <w:pPr>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方正仿宋_GB2312" w:cs="方正仿宋_GB2312"/>
          <w:sz w:val="32"/>
          <w:szCs w:val="32"/>
        </w:rPr>
      </w:pPr>
      <w:r>
        <w:rPr>
          <w:rFonts w:hint="eastAsia" w:ascii="Times New Roman" w:hAnsi="Times New Roman" w:eastAsia="方正小标宋简体" w:cs="方正小标宋简体"/>
          <w:color w:val="000000"/>
          <w:sz w:val="44"/>
          <w:szCs w:val="44"/>
        </w:rPr>
        <w:t>绩效评价报告</w:t>
      </w:r>
    </w:p>
    <w:p w14:paraId="712D8253">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eastAsia" w:ascii="Times New Roman" w:hAnsi="Times New Roman" w:eastAsia="黑体" w:cs="黑体"/>
          <w:sz w:val="32"/>
          <w:szCs w:val="32"/>
        </w:rPr>
      </w:pPr>
    </w:p>
    <w:p w14:paraId="77932F2A">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rPr>
      </w:pPr>
      <w:r>
        <w:rPr>
          <w:rFonts w:hint="eastAsia" w:ascii="Times New Roman" w:hAnsi="Times New Roman" w:eastAsia="黑体" w:cs="黑体"/>
          <w:sz w:val="32"/>
          <w:szCs w:val="32"/>
        </w:rPr>
        <w:t>一、基本情况</w:t>
      </w:r>
    </w:p>
    <w:p w14:paraId="6FEBBEFD">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西乡县退役军人事务局2024年度重点优抚对象抚恤补助及农村籍年满60周岁退役军人老年生活补助项目，是落实国家退役军人优抚保障政策、保障特殊群体基本生活的民生工程，核心目标</w:t>
      </w:r>
      <w:r>
        <w:rPr>
          <w:rFonts w:hint="eastAsia" w:ascii="Times New Roman" w:hAnsi="Times New Roman" w:eastAsia="仿宋_GB2312" w:cs="仿宋_GB2312"/>
          <w:color w:val="000000"/>
          <w:sz w:val="32"/>
          <w:szCs w:val="32"/>
          <w:lang w:val="en-US" w:eastAsia="zh-CN"/>
        </w:rPr>
        <w:t>是</w:t>
      </w:r>
      <w:r>
        <w:rPr>
          <w:rFonts w:hint="eastAsia" w:ascii="Times New Roman" w:hAnsi="Times New Roman" w:eastAsia="仿宋_GB2312" w:cs="仿宋_GB2312"/>
          <w:color w:val="000000"/>
          <w:sz w:val="32"/>
          <w:szCs w:val="32"/>
        </w:rPr>
        <w:t>精准保障重点优抚对象与农村籍老年退役军人合法权益，解决两类群体</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生活困难，提升其获得感与荣誉感，对营造“尊崇军人、关爱优抚对象”社会氛围、维护县域社会稳定具有重要意义。</w:t>
      </w:r>
    </w:p>
    <w:p w14:paraId="45A0A805">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项目资金由中央、</w:t>
      </w:r>
      <w:r>
        <w:rPr>
          <w:rFonts w:hint="eastAsia" w:ascii="Times New Roman" w:hAnsi="Times New Roman" w:eastAsia="仿宋_GB2312" w:cs="仿宋_GB2312"/>
          <w:color w:val="000000"/>
          <w:sz w:val="32"/>
          <w:szCs w:val="32"/>
          <w:lang w:val="en-US" w:eastAsia="zh-CN"/>
        </w:rPr>
        <w:t>省级</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市级</w:t>
      </w:r>
      <w:r>
        <w:rPr>
          <w:rFonts w:hint="eastAsia" w:ascii="Times New Roman" w:hAnsi="Times New Roman" w:eastAsia="仿宋_GB2312" w:cs="仿宋_GB2312"/>
          <w:color w:val="000000"/>
          <w:sz w:val="32"/>
          <w:szCs w:val="32"/>
        </w:rPr>
        <w:t>财政转移支付及县级财政配套资金构成，严格执行专款专用管理规定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项目严格</w:t>
      </w:r>
      <w:r>
        <w:rPr>
          <w:rFonts w:hint="eastAsia" w:ascii="Times New Roman" w:hAnsi="Times New Roman" w:eastAsia="仿宋_GB2312" w:cs="仿宋_GB2312"/>
          <w:color w:val="000000"/>
          <w:sz w:val="32"/>
          <w:szCs w:val="32"/>
        </w:rPr>
        <w:t>按政策规定执行差异化补助标准，其中</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重点优抚对象抚恤补助</w:t>
      </w:r>
      <w:r>
        <w:rPr>
          <w:rFonts w:hint="eastAsia" w:ascii="Times New Roman" w:hAnsi="Times New Roman" w:eastAsia="仿宋_GB2312" w:cs="仿宋_GB2312"/>
          <w:color w:val="000000"/>
          <w:sz w:val="32"/>
          <w:szCs w:val="32"/>
          <w:lang w:val="en-US" w:eastAsia="zh-CN"/>
        </w:rPr>
        <w:t>根据</w:t>
      </w:r>
      <w:r>
        <w:rPr>
          <w:rFonts w:hint="eastAsia" w:ascii="Times New Roman" w:hAnsi="Times New Roman" w:eastAsia="仿宋_GB2312" w:cs="仿宋_GB2312"/>
          <w:color w:val="000000"/>
          <w:sz w:val="32"/>
          <w:szCs w:val="32"/>
        </w:rPr>
        <w:t>残疾等级、优抚身份分类设定标准，农村籍年满60周岁退役军人老年生活补助按服役年限核算金额。</w:t>
      </w:r>
    </w:p>
    <w:p w14:paraId="31E45E15">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项目预算总额为4,021.38万元，实际到位资金4,021.38万元，资金到位率100%；实际支出4,020.93万元，预算执行率达99.99%；资金结余0.45万元，系部分补助对象离世后</w:t>
      </w:r>
      <w:r>
        <w:rPr>
          <w:rFonts w:hint="eastAsia" w:ascii="Times New Roman" w:hAnsi="Times New Roman" w:eastAsia="仿宋_GB2312" w:cs="仿宋_GB2312"/>
          <w:color w:val="000000"/>
          <w:sz w:val="32"/>
          <w:szCs w:val="32"/>
          <w:lang w:val="en-US" w:eastAsia="zh-CN"/>
        </w:rPr>
        <w:t>按规定</w:t>
      </w:r>
      <w:r>
        <w:rPr>
          <w:rFonts w:hint="eastAsia" w:ascii="Times New Roman" w:hAnsi="Times New Roman" w:eastAsia="仿宋_GB2312" w:cs="仿宋_GB2312"/>
          <w:color w:val="000000"/>
          <w:sz w:val="32"/>
          <w:szCs w:val="32"/>
        </w:rPr>
        <w:t>终止发放</w:t>
      </w:r>
      <w:r>
        <w:rPr>
          <w:rFonts w:hint="eastAsia" w:ascii="Times New Roman" w:hAnsi="Times New Roman" w:eastAsia="仿宋_GB2312" w:cs="仿宋_GB2312"/>
          <w:color w:val="000000"/>
          <w:sz w:val="32"/>
          <w:szCs w:val="32"/>
          <w:lang w:val="en-US" w:eastAsia="zh-CN"/>
        </w:rPr>
        <w:t>所致</w:t>
      </w:r>
      <w:r>
        <w:rPr>
          <w:rFonts w:hint="eastAsia" w:ascii="Times New Roman" w:hAnsi="Times New Roman" w:eastAsia="仿宋_GB2312" w:cs="仿宋_GB2312"/>
          <w:color w:val="000000"/>
          <w:sz w:val="32"/>
          <w:szCs w:val="32"/>
        </w:rPr>
        <w:t>，符合“动态调整、据实发放”的政策要求。</w:t>
      </w:r>
    </w:p>
    <w:p w14:paraId="12158BB8">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rPr>
      </w:pPr>
    </w:p>
    <w:p w14:paraId="2233AFC4">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rPr>
      </w:pPr>
      <w:r>
        <w:rPr>
          <w:rFonts w:hint="eastAsia" w:ascii="Times New Roman" w:hAnsi="Times New Roman" w:eastAsia="黑体" w:cs="黑体"/>
          <w:sz w:val="32"/>
          <w:szCs w:val="32"/>
        </w:rPr>
        <w:t>二、综合评价结论</w:t>
      </w:r>
    </w:p>
    <w:p w14:paraId="62763E75">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为确保评价科学性与规范性，本次绩效评价紧扣项目核心目标及绩效评价相关规定，以项目绩效自评表为基础依据，搭建 “决策-过程-产出-效益”四维指标体系，并细化形成三级指标评分标准，通过数据采集、问卷调查、实地访谈等</w:t>
      </w:r>
      <w:r>
        <w:rPr>
          <w:rFonts w:hint="eastAsia" w:ascii="Times New Roman" w:hAnsi="Times New Roman" w:eastAsia="仿宋_GB2312" w:cs="仿宋_GB2312"/>
          <w:color w:val="000000"/>
          <w:sz w:val="32"/>
          <w:szCs w:val="32"/>
          <w:lang w:val="en-US" w:eastAsia="zh-CN"/>
        </w:rPr>
        <w:t>方式</w:t>
      </w:r>
      <w:r>
        <w:rPr>
          <w:rFonts w:hint="eastAsia" w:ascii="Times New Roman" w:hAnsi="Times New Roman" w:eastAsia="仿宋_GB2312" w:cs="仿宋_GB2312"/>
          <w:color w:val="000000"/>
          <w:sz w:val="32"/>
          <w:szCs w:val="32"/>
        </w:rPr>
        <w:t>，对项目绩效进行全面客观评价。</w:t>
      </w:r>
    </w:p>
    <w:p w14:paraId="4172673F">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总体来看，本项目聚焦优抚对象民生保障需求，以落实国家抚恤补助政策、保障特殊群体基本生活为核心目标，通过及时足额发放补助资金、扎实开展尊崇感提升相关举措，有效改善了重点优抚对象及农村籍</w:t>
      </w:r>
      <w:r>
        <w:rPr>
          <w:rFonts w:hint="eastAsia" w:ascii="Times New Roman" w:hAnsi="Times New Roman" w:eastAsia="仿宋_GB2312" w:cs="仿宋_GB2312"/>
          <w:color w:val="000000"/>
          <w:sz w:val="32"/>
          <w:szCs w:val="32"/>
          <w:lang w:val="en-US" w:eastAsia="zh-CN"/>
        </w:rPr>
        <w:t>年满</w:t>
      </w:r>
      <w:r>
        <w:rPr>
          <w:rFonts w:hint="eastAsia" w:ascii="Times New Roman" w:hAnsi="Times New Roman" w:eastAsia="仿宋_GB2312" w:cs="仿宋_GB2312"/>
          <w:color w:val="000000"/>
          <w:sz w:val="32"/>
          <w:szCs w:val="32"/>
        </w:rPr>
        <w:t>60周岁退役军人的生活质量，切实履行了优抚保障工作职责，核心目标</w:t>
      </w:r>
      <w:r>
        <w:rPr>
          <w:rFonts w:hint="eastAsia" w:ascii="Times New Roman" w:hAnsi="Times New Roman" w:eastAsia="仿宋_GB2312" w:cs="仿宋_GB2312"/>
          <w:color w:val="000000"/>
          <w:sz w:val="32"/>
          <w:szCs w:val="32"/>
          <w:lang w:val="en-US" w:eastAsia="zh-CN"/>
        </w:rPr>
        <w:t>基本</w:t>
      </w:r>
      <w:r>
        <w:rPr>
          <w:rFonts w:hint="eastAsia" w:ascii="Times New Roman" w:hAnsi="Times New Roman" w:eastAsia="仿宋_GB2312" w:cs="仿宋_GB2312"/>
          <w:color w:val="000000"/>
          <w:sz w:val="32"/>
          <w:szCs w:val="32"/>
        </w:rPr>
        <w:t>达成。</w:t>
      </w:r>
      <w:r>
        <w:rPr>
          <w:rFonts w:hint="eastAsia" w:ascii="Times New Roman" w:hAnsi="Times New Roman" w:eastAsia="仿宋_GB2312" w:cs="仿宋_GB2312"/>
          <w:color w:val="000000"/>
          <w:sz w:val="32"/>
          <w:szCs w:val="32"/>
          <w:lang w:val="en-US" w:eastAsia="zh-CN"/>
        </w:rPr>
        <w:t>但</w:t>
      </w:r>
      <w:r>
        <w:rPr>
          <w:rFonts w:hint="eastAsia" w:ascii="Times New Roman" w:hAnsi="Times New Roman" w:eastAsia="仿宋_GB2312" w:cs="仿宋_GB2312"/>
          <w:color w:val="000000"/>
          <w:sz w:val="32"/>
          <w:szCs w:val="32"/>
        </w:rPr>
        <w:t>在资金使用合规性、过程管控精细化、绩效目标明确化等方面存在改进空间</w:t>
      </w:r>
      <w:r>
        <w:rPr>
          <w:rFonts w:hint="eastAsia" w:ascii="Times New Roman" w:hAnsi="Times New Roman" w:eastAsia="仿宋_GB2312" w:cs="仿宋_GB2312"/>
          <w:color w:val="000000"/>
          <w:sz w:val="32"/>
          <w:szCs w:val="32"/>
          <w:lang w:eastAsia="zh-CN"/>
        </w:rPr>
        <w:t>。</w:t>
      </w:r>
    </w:p>
    <w:p w14:paraId="3224E7E4">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本次评价</w:t>
      </w:r>
      <w:r>
        <w:rPr>
          <w:rFonts w:hint="eastAsia" w:ascii="Times New Roman" w:hAnsi="Times New Roman" w:eastAsia="仿宋_GB2312" w:cs="仿宋_GB2312"/>
          <w:sz w:val="32"/>
          <w:szCs w:val="32"/>
        </w:rPr>
        <w:t>最终得分</w:t>
      </w:r>
      <w:r>
        <w:rPr>
          <w:rFonts w:hint="eastAsia" w:ascii="Times New Roman" w:hAnsi="Times New Roman" w:eastAsia="仿宋_GB2312" w:cs="仿宋_GB2312"/>
          <w:color w:val="000000"/>
          <w:sz w:val="32"/>
          <w:szCs w:val="32"/>
        </w:rPr>
        <w:t>为84.3分，评价等级为“良”。具体如下表：</w:t>
      </w:r>
    </w:p>
    <w:p w14:paraId="13F57B28">
      <w:pPr>
        <w:pStyle w:val="2"/>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eastAsia"/>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3"/>
        <w:gridCol w:w="2213"/>
        <w:gridCol w:w="2213"/>
        <w:gridCol w:w="2222"/>
      </w:tblGrid>
      <w:tr w14:paraId="5B24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49" w:type="pct"/>
            <w:tcMar>
              <w:top w:w="10" w:type="dxa"/>
              <w:left w:w="10" w:type="dxa"/>
              <w:right w:w="10" w:type="dxa"/>
            </w:tcMar>
            <w:vAlign w:val="center"/>
          </w:tcPr>
          <w:p w14:paraId="00B91DA5">
            <w:pPr>
              <w:keepNext/>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一级指标</w:t>
            </w:r>
          </w:p>
        </w:tc>
        <w:tc>
          <w:tcPr>
            <w:tcW w:w="1249" w:type="pct"/>
            <w:tcMar>
              <w:top w:w="10" w:type="dxa"/>
              <w:left w:w="10" w:type="dxa"/>
              <w:right w:w="10" w:type="dxa"/>
            </w:tcMar>
            <w:vAlign w:val="center"/>
          </w:tcPr>
          <w:p w14:paraId="58B2F870">
            <w:pPr>
              <w:keepNext/>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分值</w:t>
            </w:r>
          </w:p>
        </w:tc>
        <w:tc>
          <w:tcPr>
            <w:tcW w:w="1249" w:type="pct"/>
            <w:tcMar>
              <w:top w:w="10" w:type="dxa"/>
              <w:left w:w="10" w:type="dxa"/>
              <w:right w:w="10" w:type="dxa"/>
            </w:tcMar>
            <w:vAlign w:val="center"/>
          </w:tcPr>
          <w:p w14:paraId="64F1D50D">
            <w:pPr>
              <w:keepNext/>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得分</w:t>
            </w:r>
          </w:p>
        </w:tc>
        <w:tc>
          <w:tcPr>
            <w:tcW w:w="1253" w:type="pct"/>
            <w:tcMar>
              <w:top w:w="10" w:type="dxa"/>
              <w:left w:w="10" w:type="dxa"/>
              <w:right w:w="10" w:type="dxa"/>
            </w:tcMar>
            <w:vAlign w:val="center"/>
          </w:tcPr>
          <w:p w14:paraId="2C873C66">
            <w:pPr>
              <w:keepNext/>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得分率</w:t>
            </w:r>
          </w:p>
        </w:tc>
      </w:tr>
      <w:tr w14:paraId="77E8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3180894A">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bookmarkStart w:id="0" w:name="_Hlk215849277"/>
            <w:r>
              <w:rPr>
                <w:rFonts w:hint="eastAsia" w:ascii="Times New Roman" w:hAnsi="Times New Roman" w:eastAsia="仿宋" w:cs="仿宋"/>
                <w:sz w:val="24"/>
              </w:rPr>
              <w:t>决策</w:t>
            </w:r>
          </w:p>
        </w:tc>
        <w:tc>
          <w:tcPr>
            <w:tcW w:w="1249" w:type="pct"/>
            <w:tcMar>
              <w:top w:w="10" w:type="dxa"/>
              <w:left w:w="10" w:type="dxa"/>
              <w:right w:w="10" w:type="dxa"/>
            </w:tcMar>
            <w:vAlign w:val="center"/>
          </w:tcPr>
          <w:p w14:paraId="2B1FA790">
            <w:pPr>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15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786C0451">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14.3</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62EEA2CA">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95.33%</w:t>
            </w:r>
          </w:p>
        </w:tc>
      </w:tr>
      <w:tr w14:paraId="6CA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1E3618FF">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过程</w:t>
            </w:r>
          </w:p>
        </w:tc>
        <w:tc>
          <w:tcPr>
            <w:tcW w:w="1249" w:type="pct"/>
            <w:tcMar>
              <w:top w:w="10" w:type="dxa"/>
              <w:left w:w="10" w:type="dxa"/>
              <w:right w:w="10" w:type="dxa"/>
            </w:tcMar>
            <w:vAlign w:val="center"/>
          </w:tcPr>
          <w:p w14:paraId="1C69A81C">
            <w:pPr>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25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1C62F9DD">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19.5</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1C1855E6">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bookmarkStart w:id="1" w:name="OLE_LINK9"/>
            <w:r>
              <w:rPr>
                <w:rFonts w:hint="eastAsia" w:ascii="Times New Roman" w:hAnsi="Times New Roman" w:eastAsia="仿宋" w:cs="仿宋"/>
                <w:sz w:val="24"/>
              </w:rPr>
              <w:t>78.00%</w:t>
            </w:r>
            <w:bookmarkEnd w:id="1"/>
          </w:p>
        </w:tc>
      </w:tr>
      <w:tr w14:paraId="5AF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6F2EA0E4">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产出</w:t>
            </w:r>
          </w:p>
        </w:tc>
        <w:tc>
          <w:tcPr>
            <w:tcW w:w="1249" w:type="pct"/>
            <w:tcMar>
              <w:top w:w="10" w:type="dxa"/>
              <w:left w:w="10" w:type="dxa"/>
              <w:right w:w="10" w:type="dxa"/>
            </w:tcMar>
            <w:vAlign w:val="center"/>
          </w:tcPr>
          <w:p w14:paraId="6ADF3E71">
            <w:pPr>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35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116B5962">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30.0</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5E50C078">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85.71%</w:t>
            </w:r>
          </w:p>
        </w:tc>
      </w:tr>
      <w:tr w14:paraId="62BD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74D62C54">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效益</w:t>
            </w:r>
          </w:p>
        </w:tc>
        <w:tc>
          <w:tcPr>
            <w:tcW w:w="1249" w:type="pct"/>
            <w:tcMar>
              <w:top w:w="10" w:type="dxa"/>
              <w:left w:w="10" w:type="dxa"/>
              <w:right w:w="10" w:type="dxa"/>
            </w:tcMar>
            <w:vAlign w:val="center"/>
          </w:tcPr>
          <w:p w14:paraId="576F8AB3">
            <w:pPr>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25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6D28DC5A">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20.5</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539A550A">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82.00%</w:t>
            </w:r>
          </w:p>
        </w:tc>
      </w:tr>
      <w:bookmarkEnd w:id="0"/>
      <w:tr w14:paraId="3AF1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143EDA2E">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合计</w:t>
            </w:r>
          </w:p>
        </w:tc>
        <w:tc>
          <w:tcPr>
            <w:tcW w:w="1249" w:type="pct"/>
            <w:tcMar>
              <w:top w:w="10" w:type="dxa"/>
              <w:left w:w="10" w:type="dxa"/>
              <w:right w:w="10" w:type="dxa"/>
            </w:tcMar>
            <w:vAlign w:val="center"/>
          </w:tcPr>
          <w:p w14:paraId="4A44C624">
            <w:pPr>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100</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4B722C18">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84.3</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76126676">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84.30%</w:t>
            </w:r>
          </w:p>
        </w:tc>
      </w:tr>
      <w:tr w14:paraId="3359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000" w:type="pct"/>
            <w:gridSpan w:val="4"/>
            <w:tcMar>
              <w:top w:w="10" w:type="dxa"/>
              <w:left w:w="10" w:type="dxa"/>
              <w:right w:w="10" w:type="dxa"/>
            </w:tcMar>
            <w:vAlign w:val="center"/>
          </w:tcPr>
          <w:p w14:paraId="3C877326">
            <w:pPr>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b/>
                <w:bCs/>
                <w:sz w:val="24"/>
              </w:rPr>
              <w:t>绩效评价得分：84.3   综合评价结果等级：良</w:t>
            </w:r>
          </w:p>
        </w:tc>
      </w:tr>
    </w:tbl>
    <w:p w14:paraId="357B9F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、主要经验及做法</w:t>
      </w:r>
    </w:p>
    <w:p w14:paraId="0F817101">
      <w:pPr>
        <w:keepNext w:val="0"/>
        <w:keepLines w:val="0"/>
        <w:pageBreakBefore w:val="0"/>
        <w:widowControl w:val="0"/>
        <w:kinsoku/>
        <w:wordWrap/>
        <w:overflowPunct/>
        <w:topLinePunct w:val="0"/>
        <w:autoSpaceDE/>
        <w:autoSpaceDN/>
        <w:bidi w:val="0"/>
        <w:adjustRightInd/>
        <w:snapToGrid/>
        <w:spacing w:line="578" w:lineRule="exact"/>
        <w:ind w:leftChars="0" w:firstLine="640" w:firstLineChars="200"/>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val="en-US" w:eastAsia="zh-CN"/>
        </w:rPr>
        <w:t>政策引领与职能定位契合</w:t>
      </w:r>
    </w:p>
    <w:p w14:paraId="6E7822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以《陕西省退役军人事务厅陕西省财政厅关于调整部分优抚对象等人员抚恤和生活补助标准的通知》（陕退役军人厅发〔202</w:t>
      </w:r>
      <w:r>
        <w:rPr>
          <w:rFonts w:hint="eastAsia"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val="en-US" w:eastAsia="zh-CN"/>
        </w:rPr>
        <w:t>〕37号）等政策为根本遵循，围绕“落实优抚补助政策、保障优抚对象基本生活”的核心</w:t>
      </w:r>
      <w:r>
        <w:rPr>
          <w:rFonts w:hint="eastAsia" w:eastAsia="仿宋_GB2312" w:cs="仿宋_GB2312"/>
          <w:color w:val="000000"/>
          <w:sz w:val="32"/>
          <w:szCs w:val="32"/>
          <w:lang w:val="en-US" w:eastAsia="zh-CN"/>
        </w:rPr>
        <w:t>目标</w:t>
      </w:r>
      <w:r>
        <w:rPr>
          <w:rFonts w:hint="eastAsia" w:ascii="Times New Roman" w:hAnsi="Times New Roman" w:eastAsia="仿宋_GB2312" w:cs="仿宋_GB2312"/>
          <w:color w:val="000000"/>
          <w:sz w:val="32"/>
          <w:szCs w:val="32"/>
          <w:lang w:val="en-US" w:eastAsia="zh-CN"/>
        </w:rPr>
        <w:t>，结合西乡县退役军人事务局优抚保障工作职责，清晰界定补助对象范围、统一发放标准、规范执行流程，保障项目实施全程合规，既符合上级政策导向，又精准适配本地优抚工作需求，推动抚恤补助政策落地见效。</w:t>
      </w:r>
    </w:p>
    <w:p w14:paraId="4ED4696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（二）系统化资金与制度管理</w:t>
      </w:r>
    </w:p>
    <w:p w14:paraId="34C85F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积极整合政策依据、财务资源与制度规范三大要素，为项目高效推进提供全方位支撑。预算编制阶段，严格依据省级补助标准及本地优抚对象基数科学测算资金额度，确保资金规模与任务目标精准匹配；资金管理成效显著，实现</w:t>
      </w:r>
      <w:r>
        <w:rPr>
          <w:rFonts w:hint="default" w:ascii="Times New Roman" w:hAnsi="Times New Roman" w:eastAsia="仿宋_GB2312" w:cs="仿宋_GB2312"/>
          <w:color w:val="000000"/>
          <w:sz w:val="32"/>
          <w:szCs w:val="32"/>
          <w:lang w:val="en-US" w:eastAsia="zh-CN"/>
        </w:rPr>
        <w:t>100%资金到位率、99.99%资金执行率，保障补助资金及时足额拨付；同时，制定《</w:t>
      </w:r>
      <w:r>
        <w:rPr>
          <w:rFonts w:hint="eastAsia" w:ascii="Times New Roman" w:hAnsi="Times New Roman" w:eastAsia="仿宋_GB2312" w:cs="仿宋_GB2312"/>
          <w:color w:val="000000"/>
          <w:sz w:val="32"/>
          <w:szCs w:val="32"/>
          <w:lang w:val="en-US" w:eastAsia="zh-CN"/>
        </w:rPr>
        <w:t>西乡县优抚对象资金使用管理办法</w:t>
      </w:r>
      <w:r>
        <w:rPr>
          <w:rFonts w:hint="default" w:ascii="Times New Roman" w:hAnsi="Times New Roman" w:eastAsia="仿宋_GB2312" w:cs="仿宋_GB2312"/>
          <w:color w:val="000000"/>
          <w:sz w:val="32"/>
          <w:szCs w:val="32"/>
          <w:lang w:val="en-US" w:eastAsia="zh-CN"/>
        </w:rPr>
        <w:t>》，并严格执行市级相关管理规定，构建起</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预算编制</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资金拨付</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对象认定</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的全流程制度约束体系，切实保障资金使用合规、业务操作规范有序</w:t>
      </w:r>
      <w:r>
        <w:rPr>
          <w:rFonts w:hint="eastAsia" w:ascii="Times New Roman" w:hAnsi="Times New Roman" w:eastAsia="仿宋_GB2312" w:cs="仿宋_GB2312"/>
          <w:color w:val="000000"/>
          <w:sz w:val="32"/>
          <w:szCs w:val="32"/>
          <w:lang w:val="en-US" w:eastAsia="zh-CN"/>
        </w:rPr>
        <w:t>。</w:t>
      </w:r>
    </w:p>
    <w:p w14:paraId="6512E7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（三）聚焦优抚对象核心保障需求</w:t>
      </w:r>
    </w:p>
    <w:p w14:paraId="4B6619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项目以改善优抚对象生活质量、提升其社会尊崇感为核心任务，实施过程中重点抓实两项关键工作：一是按时足额为重点优抚对象发放抚恤补助、为农村籍年满60周岁退役军人发放老年生活补助，为两类群体提供稳定可靠的经济支撑；二是开展系列专项服务举措，包括组织重点优抚对象赴宝鸡疗养、安排参战（涉核）退役军人专项健康体检、重要节日走访慰问等，切实将政策关怀转化为看得见、摸得着的实际保障，有效提升了优抚对象的获得感、幸福感与尊崇感。</w:t>
      </w:r>
    </w:p>
    <w:p w14:paraId="75BBB5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kern w:val="2"/>
          <w:sz w:val="32"/>
          <w:szCs w:val="32"/>
          <w:lang w:val="en-US" w:eastAsia="zh-CN" w:bidi="ar-SA"/>
        </w:rPr>
        <w:t>四、</w:t>
      </w:r>
      <w:r>
        <w:rPr>
          <w:rFonts w:hint="eastAsia" w:ascii="Times New Roman" w:hAnsi="Times New Roman" w:eastAsia="黑体" w:cs="黑体"/>
          <w:sz w:val="32"/>
          <w:szCs w:val="32"/>
        </w:rPr>
        <w:t>存在的问题</w:t>
      </w:r>
    </w:p>
    <w:p w14:paraId="027959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（一）绩效目标设定不规范</w:t>
      </w:r>
    </w:p>
    <w:p w14:paraId="769FCA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个别效益指标存在衡量维度模糊的问题，例如：“优抚对象生活改善”指标，未明确收入提升比例、生活保障覆盖率等量化参考标准；部分指标未设定明确评价标准，如“促进社会和谐稳定”指标，未界定信访量下降幅度、矛盾化解率等判断依据，导致无法精准评估目标完成程度，难以对项目执行形成有效指导。</w:t>
      </w:r>
    </w:p>
    <w:p w14:paraId="64A4A5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（二）发放类型准确性不足</w:t>
      </w:r>
    </w:p>
    <w:p w14:paraId="27AD07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发放对象与全国优抚信息管理系统数据不匹配，2024年3月系统内17名农村籍60周岁退役人员、12月系统内18名同类人员错按“带病回乡、参战人员”类型发放补贴，且3月、12月实际发放名单中，均有1人未在系统备案。</w:t>
      </w:r>
    </w:p>
    <w:p w14:paraId="297FE6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（三）制度执行存在漏洞</w:t>
      </w:r>
    </w:p>
    <w:p w14:paraId="1D0943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一是审核流程留痕缺失，核查优抚补助对象参保情况未留存相关工作记录，向镇办反馈审核后的人员名单未以书面、电子文档等可追溯形式传递，且</w:t>
      </w:r>
      <w:r>
        <w:rPr>
          <w:rFonts w:hint="default" w:ascii="Times New Roman" w:hAnsi="Times New Roman" w:eastAsia="仿宋_GB2312" w:cs="仿宋_GB2312"/>
          <w:color w:val="000000"/>
          <w:sz w:val="32"/>
          <w:szCs w:val="32"/>
          <w:lang w:val="en-US" w:eastAsia="zh-CN"/>
        </w:rPr>
        <w:t>补助人员名单公示的核查与留痕管理机制尚未建立</w:t>
      </w:r>
      <w:r>
        <w:rPr>
          <w:rFonts w:hint="eastAsia" w:ascii="Times New Roman" w:hAnsi="Times New Roman" w:eastAsia="仿宋_GB2312" w:cs="仿宋_GB2312"/>
          <w:color w:val="000000"/>
          <w:sz w:val="32"/>
          <w:szCs w:val="32"/>
          <w:lang w:val="en-US" w:eastAsia="zh-CN"/>
        </w:rPr>
        <w:t>；二是</w:t>
      </w:r>
      <w:r>
        <w:rPr>
          <w:rFonts w:hint="default" w:ascii="Times New Roman" w:hAnsi="Times New Roman" w:eastAsia="仿宋_GB2312" w:cs="仿宋_GB2312"/>
          <w:color w:val="000000"/>
          <w:sz w:val="32"/>
          <w:szCs w:val="32"/>
          <w:lang w:val="en-US" w:eastAsia="zh-CN"/>
        </w:rPr>
        <w:t>自然减员管理不够规范</w:t>
      </w:r>
      <w:r>
        <w:rPr>
          <w:rFonts w:hint="eastAsia" w:ascii="Times New Roman" w:hAnsi="Times New Roman" w:eastAsia="仿宋_GB2312" w:cs="仿宋_GB2312"/>
          <w:color w:val="000000"/>
          <w:sz w:val="32"/>
          <w:szCs w:val="32"/>
          <w:lang w:val="en-US" w:eastAsia="zh-CN"/>
        </w:rPr>
        <w:t>，各</w:t>
      </w:r>
      <w:r>
        <w:rPr>
          <w:rFonts w:hint="default" w:ascii="Times New Roman" w:hAnsi="Times New Roman" w:eastAsia="仿宋_GB2312" w:cs="仿宋_GB2312"/>
          <w:color w:val="000000"/>
          <w:sz w:val="32"/>
          <w:szCs w:val="32"/>
          <w:lang w:val="en-US" w:eastAsia="zh-CN"/>
        </w:rPr>
        <w:t>镇办上报死亡人员信息时，未同步提交死亡证明复印件，仅以死亡人员登记表作为减员依据</w:t>
      </w:r>
      <w:r>
        <w:rPr>
          <w:rFonts w:hint="eastAsia" w:ascii="Times New Roman" w:hAnsi="Times New Roman" w:eastAsia="仿宋_GB2312" w:cs="仿宋_GB2312"/>
          <w:color w:val="000000"/>
          <w:sz w:val="32"/>
          <w:szCs w:val="32"/>
          <w:lang w:val="en-US" w:eastAsia="zh-CN"/>
        </w:rPr>
        <w:t>。</w:t>
      </w:r>
    </w:p>
    <w:p w14:paraId="31D9F624">
      <w:pPr>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_GB2312" w:cs="方正仿宋_GB2312"/>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、有关建议</w:t>
      </w:r>
    </w:p>
    <w:p w14:paraId="06F572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（一）优化绩效目标管理 </w:t>
      </w:r>
    </w:p>
    <w:p w14:paraId="6BD007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细化绩效目标衡量标准，结合优抚政策核心要求与本地实际情况，针对“优抚对象生活改善”“促进社会和谐稳定”等效益类指标，进一步明确具体衡量维度与判定标准，增强绩效目标的可量化、可评价性，为项目全流程执行与绩效评价工作提供清晰指引。</w:t>
      </w:r>
    </w:p>
    <w:p w14:paraId="1F26AC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w:t>
      </w:r>
      <w:r>
        <w:rPr>
          <w:rFonts w:hint="eastAsia" w:ascii="Times New Roman" w:hAnsi="Times New Roman" w:eastAsia="楷体_GB2312" w:cs="楷体_GB2312"/>
          <w:color w:val="000000"/>
          <w:sz w:val="32"/>
          <w:szCs w:val="32"/>
          <w:lang w:val="en-US" w:eastAsia="zh-CN"/>
        </w:rPr>
        <w:t>精准匹配发放对象与系统数据</w:t>
      </w:r>
    </w:p>
    <w:p w14:paraId="2281C6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建立全国优抚信息管理系统与本地发放台账的定期核对机制，安排专人对发放对象的身份信息、补贴类型等关键要素开展双向校验，确保发放对象与系统数据精准一致，从源头杜绝错发、违规发放等问题。</w:t>
      </w:r>
      <w:bookmarkStart w:id="2" w:name="_GoBack"/>
      <w:bookmarkEnd w:id="2"/>
    </w:p>
    <w:p w14:paraId="7AC331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（三）规范制度执行流程</w:t>
      </w:r>
    </w:p>
    <w:p w14:paraId="51142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一是健全审核留痕机制：明确补助资格核查、名单反馈、公示等关键环节的记录要求，确保审核全流程可追溯；定期组织开展留痕资料专项检查，对未按规范落实留痕要求的环节严肃整改。</w:t>
      </w:r>
    </w:p>
    <w:p w14:paraId="1F1DC4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二是加强自然减员动态管理：建立优抚对象自然减员“月更新、月核查”工作机制，明确要求镇办每月上报死亡人员减员信息时，必须同步附死亡证明复印件等有效佐证材料。</w:t>
      </w:r>
    </w:p>
    <w:p w14:paraId="715B0C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00000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EF0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7DBC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07DBC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469F4"/>
    <w:rsid w:val="00025C41"/>
    <w:rsid w:val="004347F9"/>
    <w:rsid w:val="005753CD"/>
    <w:rsid w:val="006B3D23"/>
    <w:rsid w:val="00DF05A0"/>
    <w:rsid w:val="00EC4EDE"/>
    <w:rsid w:val="02D4554B"/>
    <w:rsid w:val="0F45102C"/>
    <w:rsid w:val="26461511"/>
    <w:rsid w:val="40277BFD"/>
    <w:rsid w:val="4203620C"/>
    <w:rsid w:val="50FC2383"/>
    <w:rsid w:val="599D6C46"/>
    <w:rsid w:val="61CA23FC"/>
    <w:rsid w:val="64D441F5"/>
    <w:rsid w:val="6A3469F4"/>
    <w:rsid w:val="72AC1CBB"/>
    <w:rsid w:val="73713A7B"/>
    <w:rsid w:val="74005D42"/>
    <w:rsid w:val="76D7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ind w:firstLine="540"/>
    </w:pPr>
    <w:rPr>
      <w:rFonts w:ascii="仿宋_GB2312" w:eastAsia="仿宋_GB2312"/>
      <w:sz w:val="28"/>
      <w:szCs w:val="20"/>
    </w:rPr>
  </w:style>
  <w:style w:type="paragraph" w:styleId="4">
    <w:name w:val="annotation text"/>
    <w:basedOn w:val="1"/>
    <w:qFormat/>
    <w:uiPriority w:val="0"/>
    <w:pPr>
      <w:jc w:val="left"/>
    </w:pPr>
  </w:style>
  <w:style w:type="paragraph" w:styleId="5">
    <w:name w:val="Body Text"/>
    <w:basedOn w:val="1"/>
    <w:unhideWhenUsed/>
    <w:qFormat/>
    <w:uiPriority w:val="99"/>
    <w:pPr>
      <w:tabs>
        <w:tab w:val="left" w:pos="0"/>
      </w:tabs>
    </w:pPr>
    <w:rPr>
      <w:rFonts w:ascii="宋体" w:hAnsi="宋体" w:eastAsia="仿宋_GB2312"/>
      <w:color w:val="000000"/>
      <w:sz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tabs>
        <w:tab w:val="center" w:pos="4153"/>
        <w:tab w:val="right" w:pos="8306"/>
      </w:tabs>
      <w:snapToGrid w:val="0"/>
      <w:jc w:val="center"/>
    </w:pPr>
    <w:rPr>
      <w:sz w:val="18"/>
      <w:szCs w:val="18"/>
    </w:rPr>
  </w:style>
  <w:style w:type="character" w:customStyle="1" w:styleId="10">
    <w:name w:val="页眉 字符"/>
    <w:basedOn w:val="9"/>
    <w:link w:val="7"/>
    <w:qFormat/>
    <w:uiPriority w:val="0"/>
    <w:rPr>
      <w:kern w:val="2"/>
      <w:sz w:val="18"/>
      <w:szCs w:val="18"/>
    </w:rPr>
  </w:style>
  <w:style w:type="character" w:customStyle="1" w:styleId="11">
    <w:name w:val="页脚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2411</Words>
  <Characters>2546</Characters>
  <Lines>93</Lines>
  <Paragraphs>76</Paragraphs>
  <TotalTime>0</TotalTime>
  <ScaleCrop>false</ScaleCrop>
  <LinksUpToDate>false</LinksUpToDate>
  <CharactersWithSpaces>2551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2025-12-05T08:23:00Z</dcterms:created>
  <dc:creator>梅</dc:creator>
  <cp:lastModifiedBy>exquisite</cp:lastModifiedBy>
  <dcterms:modified xsi:type="dcterms:W3CDTF">2025-12-17T09:39:14Z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6E9EFED6E7EF475AAF9D265F48C154D1_13</vt:lpwstr>
  </property>
  <property fmtid="{D5CDD505-2E9C-101B-9397-08002B2CF9AE}" pid="4" name="KSOTemplateDocerSaveRecord">
    <vt:lpwstr>eyJoZGlkIjoiZmIxMmRmYTA5NGU0NDQ0ZTlkMzRlNWJlNTFlZWI4MDUiLCJ1c2VySWQiOiI0MzIwMDYxOTQifQ==</vt:lpwstr>
  </property>
</Properties>
</file>