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7C65D">
      <w:pPr>
        <w:keepNext w:val="0"/>
        <w:keepLines w:val="0"/>
        <w:pageBreakBefore w:val="0"/>
        <w:kinsoku/>
        <w:wordWrap/>
        <w:overflowPunct/>
        <w:topLinePunct w:val="0"/>
        <w:autoSpaceDE/>
        <w:autoSpaceDN/>
        <w:bidi w:val="0"/>
        <w:adjustRightInd/>
        <w:snapToGrid/>
        <w:spacing w:line="578" w:lineRule="exact"/>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国有企业退休人员社会化管理补助资金项目</w:t>
      </w:r>
    </w:p>
    <w:p w14:paraId="5959D858">
      <w:pPr>
        <w:keepNext w:val="0"/>
        <w:keepLines w:val="0"/>
        <w:pageBreakBefore w:val="0"/>
        <w:widowControl w:val="0"/>
        <w:kinsoku/>
        <w:wordWrap/>
        <w:overflowPunct/>
        <w:topLinePunct w:val="0"/>
        <w:autoSpaceDE/>
        <w:autoSpaceDN/>
        <w:bidi w:val="0"/>
        <w:adjustRightInd/>
        <w:snapToGrid/>
        <w:spacing w:line="578" w:lineRule="exact"/>
        <w:ind w:firstLine="0" w:firstLineChars="0"/>
        <w:jc w:val="center"/>
        <w:textAlignment w:val="auto"/>
        <w:rPr>
          <w:rFonts w:ascii="Times New Roman" w:hAnsi="Times New Roman" w:eastAsia="仿宋_GB2312" w:cs="仿宋_GB2312"/>
          <w:sz w:val="32"/>
          <w:szCs w:val="32"/>
          <w:highlight w:val="none"/>
        </w:rPr>
      </w:pPr>
      <w:r>
        <w:rPr>
          <w:rFonts w:hint="eastAsia" w:ascii="Times New Roman" w:hAnsi="Times New Roman" w:eastAsia="方正小标宋简体" w:cs="方正小标宋简体"/>
          <w:sz w:val="44"/>
          <w:szCs w:val="44"/>
        </w:rPr>
        <w:t>绩效评价报告</w:t>
      </w:r>
    </w:p>
    <w:p w14:paraId="67C37F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sz w:val="32"/>
          <w:szCs w:val="32"/>
          <w:highlight w:val="none"/>
        </w:rPr>
      </w:pPr>
    </w:p>
    <w:p w14:paraId="29F42E32">
      <w:pPr>
        <w:keepNext w:val="0"/>
        <w:keepLines w:val="0"/>
        <w:pageBreakBefore w:val="0"/>
        <w:kinsoku/>
        <w:wordWrap/>
        <w:overflowPunct/>
        <w:topLinePunct w:val="0"/>
        <w:autoSpaceDE/>
        <w:autoSpaceDN/>
        <w:bidi w:val="0"/>
        <w:adjustRightInd/>
        <w:snapToGrid/>
        <w:spacing w:line="578" w:lineRule="exact"/>
        <w:ind w:firstLine="640" w:firstLineChars="200"/>
        <w:outlineLvl w:val="9"/>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一、基本情况</w:t>
      </w:r>
    </w:p>
    <w:p w14:paraId="1FA16036">
      <w:pPr>
        <w:pStyle w:val="2"/>
        <w:keepNext w:val="0"/>
        <w:keepLines w:val="0"/>
        <w:pageBreakBefore w:val="0"/>
        <w:kinsoku/>
        <w:wordWrap/>
        <w:overflowPunct/>
        <w:topLinePunct w:val="0"/>
        <w:autoSpaceDE/>
        <w:autoSpaceDN/>
        <w:bidi w:val="0"/>
        <w:adjustRightInd/>
        <w:snapToGrid/>
        <w:spacing w:line="578" w:lineRule="exact"/>
        <w:ind w:left="0" w:leftChars="0"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为落实国有企业退休人员社会化管理工作，中央及陕西省对西乡县接收975名中央及原中央下放国有企业退休人员、省属及省属下划国有企业退休人员的</w:t>
      </w:r>
      <w:r>
        <w:rPr>
          <w:rFonts w:hint="eastAsia" w:ascii="Times New Roman" w:hAnsi="Times New Roman" w:eastAsia="仿宋_GB2312"/>
          <w:sz w:val="32"/>
          <w:szCs w:val="32"/>
          <w:lang w:val="en-US" w:eastAsia="zh-CN"/>
        </w:rPr>
        <w:t>镇（街道）</w:t>
      </w:r>
      <w:r>
        <w:rPr>
          <w:rFonts w:hint="eastAsia" w:ascii="Times New Roman" w:hAnsi="Times New Roman" w:eastAsia="仿宋_GB2312" w:cs="仿宋_GB2312"/>
          <w:kern w:val="2"/>
          <w:sz w:val="32"/>
          <w:szCs w:val="32"/>
          <w:lang w:val="en-US" w:eastAsia="zh-CN" w:bidi="ar-SA"/>
        </w:rPr>
        <w:t>给予一定的财政补助资金，专项用于</w:t>
      </w:r>
      <w:r>
        <w:rPr>
          <w:rFonts w:hint="eastAsia" w:ascii="Times New Roman" w:hAnsi="Times New Roman" w:eastAsia="仿宋_GB2312"/>
          <w:sz w:val="32"/>
          <w:szCs w:val="32"/>
          <w:lang w:val="en-US" w:eastAsia="zh-CN"/>
        </w:rPr>
        <w:t>镇（街道）</w:t>
      </w:r>
      <w:r>
        <w:rPr>
          <w:rFonts w:hint="eastAsia" w:ascii="Times New Roman" w:hAnsi="Times New Roman" w:eastAsia="仿宋_GB2312" w:cs="仿宋_GB2312"/>
          <w:kern w:val="2"/>
          <w:sz w:val="32"/>
          <w:szCs w:val="32"/>
          <w:lang w:val="en-US" w:eastAsia="zh-CN" w:bidi="ar-SA"/>
        </w:rPr>
        <w:t>对国企退休人员的社会化管理工作，主要包括接收国有企业退休员工档案及组织关系，定期更新退休员工信息，组织开展各类文化、体育、娱乐活动，协调解决退休员工在社会化管理工作中遇到的疑难问题等工作。</w:t>
      </w:r>
    </w:p>
    <w:p w14:paraId="4E8B6379">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西乡县财政局2024年共下达中央及陕西省国有企业退休人员社会化管理财政补助资金25.35万元，截至2025年6月30日,西乡县16个</w:t>
      </w:r>
      <w:r>
        <w:rPr>
          <w:rFonts w:hint="eastAsia" w:ascii="Times New Roman" w:hAnsi="Times New Roman" w:eastAsia="仿宋_GB2312"/>
          <w:sz w:val="32"/>
          <w:szCs w:val="32"/>
          <w:lang w:val="en-US" w:eastAsia="zh-CN"/>
        </w:rPr>
        <w:t>镇（街道）</w:t>
      </w:r>
      <w:r>
        <w:rPr>
          <w:rFonts w:hint="eastAsia" w:ascii="Times New Roman" w:hAnsi="Times New Roman" w:eastAsia="仿宋_GB2312" w:cs="仿宋_GB2312"/>
          <w:kern w:val="2"/>
          <w:sz w:val="32"/>
          <w:szCs w:val="32"/>
          <w:lang w:val="en-US" w:eastAsia="zh-CN" w:bidi="ar-SA"/>
        </w:rPr>
        <w:t>共计支出资金7.3278万元，预算执行率为28.91%。</w:t>
      </w:r>
    </w:p>
    <w:p w14:paraId="61DE55B1">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截至2024年12月31日，西乡县16个</w:t>
      </w:r>
      <w:r>
        <w:rPr>
          <w:rFonts w:hint="eastAsia" w:ascii="Times New Roman" w:hAnsi="Times New Roman" w:eastAsia="仿宋_GB2312"/>
          <w:sz w:val="32"/>
          <w:szCs w:val="32"/>
          <w:lang w:val="en-US" w:eastAsia="zh-CN"/>
        </w:rPr>
        <w:t>镇（街道）</w:t>
      </w:r>
      <w:r>
        <w:rPr>
          <w:rFonts w:hint="eastAsia" w:ascii="Times New Roman" w:hAnsi="Times New Roman" w:eastAsia="仿宋_GB2312" w:cs="仿宋_GB2312"/>
          <w:kern w:val="2"/>
          <w:sz w:val="32"/>
          <w:szCs w:val="32"/>
          <w:lang w:val="en-US" w:eastAsia="zh-CN" w:bidi="ar-SA"/>
        </w:rPr>
        <w:t>共累计接收国有企业退休人员975名。通过城北街道办及白龙塘镇工作总结，2024年开展了国有企业退休人</w:t>
      </w:r>
      <w:bookmarkStart w:id="0" w:name="_GoBack"/>
      <w:bookmarkEnd w:id="0"/>
      <w:r>
        <w:rPr>
          <w:rFonts w:hint="eastAsia" w:ascii="Times New Roman" w:hAnsi="Times New Roman" w:eastAsia="仿宋_GB2312" w:cs="仿宋_GB2312"/>
          <w:kern w:val="2"/>
          <w:sz w:val="32"/>
          <w:szCs w:val="32"/>
          <w:lang w:val="en-US" w:eastAsia="zh-CN" w:bidi="ar-SA"/>
        </w:rPr>
        <w:t>员档案管理，配备工作人员对国企退休人员进行日常管理，组织退休人员慰问活动。其余乡镇未提供工作计划及工作总结，国有企业退休人员社会化管理工作实施情况未知。</w:t>
      </w:r>
    </w:p>
    <w:p w14:paraId="7030C689">
      <w:pPr>
        <w:keepNext w:val="0"/>
        <w:keepLines w:val="0"/>
        <w:pageBreakBefore w:val="0"/>
        <w:kinsoku/>
        <w:wordWrap/>
        <w:overflowPunct/>
        <w:topLinePunct w:val="0"/>
        <w:autoSpaceDE/>
        <w:autoSpaceDN/>
        <w:bidi w:val="0"/>
        <w:adjustRightInd/>
        <w:snapToGrid/>
        <w:spacing w:line="578" w:lineRule="exact"/>
        <w:ind w:firstLine="640" w:firstLineChars="200"/>
        <w:outlineLvl w:val="9"/>
        <w:rPr>
          <w:rFonts w:hint="eastAsia" w:ascii="Times New Roman" w:hAnsi="Times New Roman" w:eastAsia="黑体" w:cs="黑体"/>
          <w:sz w:val="32"/>
          <w:szCs w:val="32"/>
          <w:highlight w:val="none"/>
        </w:rPr>
      </w:pPr>
    </w:p>
    <w:p w14:paraId="5B2F6CE1">
      <w:pPr>
        <w:keepNext w:val="0"/>
        <w:keepLines w:val="0"/>
        <w:pageBreakBefore w:val="0"/>
        <w:kinsoku/>
        <w:wordWrap/>
        <w:overflowPunct/>
        <w:topLinePunct w:val="0"/>
        <w:autoSpaceDE/>
        <w:autoSpaceDN/>
        <w:bidi w:val="0"/>
        <w:adjustRightInd/>
        <w:snapToGrid/>
        <w:spacing w:line="578" w:lineRule="exact"/>
        <w:ind w:firstLine="640" w:firstLineChars="200"/>
        <w:outlineLvl w:val="9"/>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二、综合评价结论</w:t>
      </w:r>
    </w:p>
    <w:p w14:paraId="70309BA2">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评价组通过数据采集、数据分析、问卷调查、实地调研等方式获得的数据和资料，对国有企业退休人员社会化管理补助资金项目进行客观公正的评价，从总体上看项目立项依据充分，立项程序规范、预算编制科学、有效保障了对国企退休人员服务水平、国企退休人员满意度较高，但存在个别绩效指标不够量化、预算执行率偏低、资金使用不够合规、国企退休人员社会化管理政策知晓率有待提升等问题。项目总得分为73.66分，绩效评级为“中”。详细评分结果如表2-1所示。</w:t>
      </w:r>
    </w:p>
    <w:p w14:paraId="2196744C">
      <w:pPr>
        <w:keepNext w:val="0"/>
        <w:keepLines w:val="0"/>
        <w:pageBreakBefore w:val="0"/>
        <w:kinsoku/>
        <w:wordWrap/>
        <w:overflowPunct/>
        <w:topLinePunct w:val="0"/>
        <w:autoSpaceDE/>
        <w:autoSpaceDN/>
        <w:bidi w:val="0"/>
        <w:adjustRightInd/>
        <w:snapToGrid/>
        <w:spacing w:line="578" w:lineRule="exact"/>
        <w:jc w:val="center"/>
        <w:rPr>
          <w:rFonts w:hint="eastAsia"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表</w:t>
      </w:r>
      <w:r>
        <w:rPr>
          <w:rFonts w:hint="eastAsia" w:ascii="Times New Roman" w:hAnsi="Times New Roman" w:eastAsia="仿宋_GB2312" w:cs="仿宋_GB2312"/>
          <w:b/>
          <w:bCs/>
          <w:sz w:val="28"/>
          <w:szCs w:val="28"/>
          <w:lang w:val="en-US" w:eastAsia="zh-CN"/>
        </w:rPr>
        <w:t>2</w:t>
      </w:r>
      <w:r>
        <w:rPr>
          <w:rFonts w:ascii="Times New Roman" w:hAnsi="Times New Roman" w:eastAsia="仿宋_GB2312" w:cs="仿宋_GB2312"/>
          <w:b/>
          <w:bCs/>
          <w:sz w:val="28"/>
          <w:szCs w:val="28"/>
        </w:rPr>
        <w:t xml:space="preserve">-1 </w:t>
      </w:r>
      <w:r>
        <w:rPr>
          <w:rFonts w:hint="eastAsia" w:ascii="Times New Roman" w:hAnsi="Times New Roman" w:eastAsia="仿宋_GB2312" w:cs="仿宋_GB2312"/>
          <w:b/>
          <w:bCs/>
          <w:sz w:val="28"/>
          <w:szCs w:val="28"/>
        </w:rPr>
        <w:t>国有企业退休人员社会化管理补助资金</w:t>
      </w:r>
      <w:r>
        <w:rPr>
          <w:rFonts w:ascii="Times New Roman" w:hAnsi="Times New Roman" w:eastAsia="仿宋_GB2312" w:cs="仿宋_GB2312"/>
          <w:b/>
          <w:bCs/>
          <w:sz w:val="28"/>
          <w:szCs w:val="28"/>
        </w:rPr>
        <w:t>项目指标评分表</w:t>
      </w:r>
    </w:p>
    <w:tbl>
      <w:tblPr>
        <w:tblStyle w:val="8"/>
        <w:tblW w:w="9000" w:type="dxa"/>
        <w:tblInd w:w="91" w:type="dxa"/>
        <w:tblLayout w:type="autofit"/>
        <w:tblCellMar>
          <w:top w:w="0" w:type="dxa"/>
          <w:left w:w="108" w:type="dxa"/>
          <w:bottom w:w="0" w:type="dxa"/>
          <w:right w:w="108" w:type="dxa"/>
        </w:tblCellMar>
      </w:tblPr>
      <w:tblGrid>
        <w:gridCol w:w="1980"/>
        <w:gridCol w:w="1860"/>
        <w:gridCol w:w="2360"/>
        <w:gridCol w:w="2800"/>
      </w:tblGrid>
      <w:tr w14:paraId="7B0761EA">
        <w:tblPrEx>
          <w:tblCellMar>
            <w:top w:w="0" w:type="dxa"/>
            <w:left w:w="108" w:type="dxa"/>
            <w:bottom w:w="0" w:type="dxa"/>
            <w:right w:w="108" w:type="dxa"/>
          </w:tblCellMar>
        </w:tblPrEx>
        <w:trPr>
          <w:trHeight w:val="567" w:hRule="atLeast"/>
          <w:tblHeader/>
        </w:trPr>
        <w:tc>
          <w:tcPr>
            <w:tcW w:w="19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3F8413B">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b/>
                <w:bCs/>
                <w:color w:val="000000"/>
                <w:kern w:val="0"/>
                <w:sz w:val="24"/>
                <w:lang w:bidi="ar"/>
              </w:rPr>
            </w:pPr>
            <w:r>
              <w:rPr>
                <w:rFonts w:hint="eastAsia" w:ascii="Times New Roman" w:hAnsi="Times New Roman" w:eastAsia="仿宋" w:cs="仿宋"/>
                <w:b/>
                <w:bCs/>
                <w:color w:val="000000"/>
                <w:kern w:val="0"/>
                <w:sz w:val="24"/>
                <w:lang w:bidi="ar"/>
              </w:rPr>
              <w:t>一级指标</w:t>
            </w:r>
          </w:p>
        </w:tc>
        <w:tc>
          <w:tcPr>
            <w:tcW w:w="18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EB42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b/>
                <w:bCs/>
                <w:color w:val="000000"/>
                <w:kern w:val="0"/>
                <w:sz w:val="24"/>
                <w:lang w:bidi="ar"/>
              </w:rPr>
            </w:pPr>
            <w:r>
              <w:rPr>
                <w:rFonts w:hint="eastAsia" w:ascii="Times New Roman" w:hAnsi="Times New Roman" w:eastAsia="仿宋" w:cs="仿宋"/>
                <w:b/>
                <w:bCs/>
                <w:color w:val="000000"/>
                <w:kern w:val="0"/>
                <w:sz w:val="24"/>
                <w:lang w:bidi="ar"/>
              </w:rPr>
              <w:t>分值</w:t>
            </w:r>
          </w:p>
        </w:tc>
        <w:tc>
          <w:tcPr>
            <w:tcW w:w="236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521A2F">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b/>
                <w:bCs/>
                <w:color w:val="000000"/>
                <w:kern w:val="0"/>
                <w:sz w:val="24"/>
                <w:lang w:bidi="ar"/>
              </w:rPr>
            </w:pPr>
            <w:r>
              <w:rPr>
                <w:rFonts w:hint="eastAsia" w:ascii="Times New Roman" w:hAnsi="Times New Roman" w:eastAsia="仿宋" w:cs="仿宋"/>
                <w:b/>
                <w:bCs/>
                <w:color w:val="000000"/>
                <w:kern w:val="0"/>
                <w:sz w:val="24"/>
                <w:lang w:bidi="ar"/>
              </w:rPr>
              <w:t>得分</w:t>
            </w:r>
          </w:p>
        </w:tc>
        <w:tc>
          <w:tcPr>
            <w:tcW w:w="280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C343A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b/>
                <w:bCs/>
                <w:color w:val="000000"/>
                <w:kern w:val="0"/>
                <w:sz w:val="24"/>
                <w:lang w:bidi="ar"/>
              </w:rPr>
            </w:pPr>
            <w:r>
              <w:rPr>
                <w:rFonts w:hint="eastAsia" w:ascii="Times New Roman" w:hAnsi="Times New Roman" w:eastAsia="仿宋" w:cs="仿宋"/>
                <w:b/>
                <w:bCs/>
                <w:color w:val="000000"/>
                <w:kern w:val="0"/>
                <w:sz w:val="24"/>
                <w:lang w:bidi="ar"/>
              </w:rPr>
              <w:t>得分率</w:t>
            </w:r>
          </w:p>
        </w:tc>
      </w:tr>
      <w:tr w14:paraId="5E41BD66">
        <w:tblPrEx>
          <w:tblCellMar>
            <w:top w:w="0" w:type="dxa"/>
            <w:left w:w="108" w:type="dxa"/>
            <w:bottom w:w="0" w:type="dxa"/>
            <w:right w:w="108" w:type="dxa"/>
          </w:tblCellMar>
        </w:tblPrEx>
        <w:trPr>
          <w:trHeight w:val="56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65443EB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决策</w:t>
            </w:r>
          </w:p>
        </w:tc>
        <w:tc>
          <w:tcPr>
            <w:tcW w:w="1860" w:type="dxa"/>
            <w:tcBorders>
              <w:top w:val="single" w:color="000000" w:sz="4" w:space="0"/>
              <w:left w:val="single" w:color="000000" w:sz="4" w:space="0"/>
              <w:bottom w:val="single" w:color="000000" w:sz="4" w:space="0"/>
              <w:right w:val="single" w:color="000000" w:sz="4" w:space="0"/>
            </w:tcBorders>
            <w:vAlign w:val="center"/>
          </w:tcPr>
          <w:p w14:paraId="06263A1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20</w:t>
            </w:r>
          </w:p>
        </w:tc>
        <w:tc>
          <w:tcPr>
            <w:tcW w:w="2360" w:type="dxa"/>
            <w:tcBorders>
              <w:top w:val="single" w:color="000000" w:sz="4" w:space="0"/>
              <w:left w:val="single" w:color="000000" w:sz="4" w:space="0"/>
              <w:bottom w:val="single" w:color="000000" w:sz="4" w:space="0"/>
              <w:right w:val="single" w:color="000000" w:sz="4" w:space="0"/>
            </w:tcBorders>
            <w:vAlign w:val="center"/>
          </w:tcPr>
          <w:p w14:paraId="038E33E9">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19.33</w:t>
            </w:r>
          </w:p>
        </w:tc>
        <w:tc>
          <w:tcPr>
            <w:tcW w:w="2800" w:type="dxa"/>
            <w:tcBorders>
              <w:top w:val="single" w:color="000000" w:sz="4" w:space="0"/>
              <w:left w:val="single" w:color="000000" w:sz="4" w:space="0"/>
              <w:bottom w:val="single" w:color="000000" w:sz="4" w:space="0"/>
              <w:right w:val="single" w:color="000000" w:sz="4" w:space="0"/>
            </w:tcBorders>
            <w:vAlign w:val="center"/>
          </w:tcPr>
          <w:p w14:paraId="016A18B0">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96.65%</w:t>
            </w:r>
          </w:p>
        </w:tc>
      </w:tr>
      <w:tr w14:paraId="339C2DA8">
        <w:tblPrEx>
          <w:tblCellMar>
            <w:top w:w="0" w:type="dxa"/>
            <w:left w:w="108" w:type="dxa"/>
            <w:bottom w:w="0" w:type="dxa"/>
            <w:right w:w="108" w:type="dxa"/>
          </w:tblCellMar>
        </w:tblPrEx>
        <w:trPr>
          <w:trHeight w:val="56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1B0BEB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过程</w:t>
            </w:r>
          </w:p>
        </w:tc>
        <w:tc>
          <w:tcPr>
            <w:tcW w:w="1860" w:type="dxa"/>
            <w:tcBorders>
              <w:top w:val="single" w:color="000000" w:sz="4" w:space="0"/>
              <w:left w:val="single" w:color="000000" w:sz="4" w:space="0"/>
              <w:bottom w:val="single" w:color="000000" w:sz="4" w:space="0"/>
              <w:right w:val="single" w:color="000000" w:sz="4" w:space="0"/>
            </w:tcBorders>
            <w:vAlign w:val="center"/>
          </w:tcPr>
          <w:p w14:paraId="33513703">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20</w:t>
            </w:r>
          </w:p>
        </w:tc>
        <w:tc>
          <w:tcPr>
            <w:tcW w:w="2360" w:type="dxa"/>
            <w:tcBorders>
              <w:top w:val="single" w:color="000000" w:sz="4" w:space="0"/>
              <w:left w:val="single" w:color="000000" w:sz="4" w:space="0"/>
              <w:bottom w:val="single" w:color="000000" w:sz="4" w:space="0"/>
              <w:right w:val="single" w:color="000000" w:sz="4" w:space="0"/>
            </w:tcBorders>
            <w:vAlign w:val="center"/>
          </w:tcPr>
          <w:p w14:paraId="4DB83AF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8.33</w:t>
            </w:r>
          </w:p>
        </w:tc>
        <w:tc>
          <w:tcPr>
            <w:tcW w:w="2800" w:type="dxa"/>
            <w:tcBorders>
              <w:top w:val="single" w:color="000000" w:sz="4" w:space="0"/>
              <w:left w:val="single" w:color="000000" w:sz="4" w:space="0"/>
              <w:bottom w:val="single" w:color="000000" w:sz="4" w:space="0"/>
              <w:right w:val="single" w:color="000000" w:sz="4" w:space="0"/>
            </w:tcBorders>
            <w:vAlign w:val="center"/>
          </w:tcPr>
          <w:p w14:paraId="2FBAFD8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41.65%</w:t>
            </w:r>
          </w:p>
        </w:tc>
      </w:tr>
      <w:tr w14:paraId="73A8C139">
        <w:tblPrEx>
          <w:tblCellMar>
            <w:top w:w="0" w:type="dxa"/>
            <w:left w:w="108" w:type="dxa"/>
            <w:bottom w:w="0" w:type="dxa"/>
            <w:right w:w="108" w:type="dxa"/>
          </w:tblCellMar>
        </w:tblPrEx>
        <w:trPr>
          <w:trHeight w:val="56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0990602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产出</w:t>
            </w:r>
          </w:p>
        </w:tc>
        <w:tc>
          <w:tcPr>
            <w:tcW w:w="1860" w:type="dxa"/>
            <w:tcBorders>
              <w:top w:val="single" w:color="000000" w:sz="4" w:space="0"/>
              <w:left w:val="single" w:color="000000" w:sz="4" w:space="0"/>
              <w:bottom w:val="single" w:color="000000" w:sz="4" w:space="0"/>
              <w:right w:val="single" w:color="000000" w:sz="4" w:space="0"/>
            </w:tcBorders>
            <w:vAlign w:val="center"/>
          </w:tcPr>
          <w:p w14:paraId="02C63F2C">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30</w:t>
            </w:r>
          </w:p>
        </w:tc>
        <w:tc>
          <w:tcPr>
            <w:tcW w:w="2360" w:type="dxa"/>
            <w:tcBorders>
              <w:top w:val="single" w:color="000000" w:sz="4" w:space="0"/>
              <w:left w:val="single" w:color="000000" w:sz="4" w:space="0"/>
              <w:bottom w:val="single" w:color="000000" w:sz="4" w:space="0"/>
              <w:right w:val="single" w:color="000000" w:sz="4" w:space="0"/>
            </w:tcBorders>
            <w:vAlign w:val="center"/>
          </w:tcPr>
          <w:p w14:paraId="0A721D88">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24</w:t>
            </w:r>
          </w:p>
        </w:tc>
        <w:tc>
          <w:tcPr>
            <w:tcW w:w="2800" w:type="dxa"/>
            <w:tcBorders>
              <w:top w:val="single" w:color="000000" w:sz="4" w:space="0"/>
              <w:left w:val="single" w:color="000000" w:sz="4" w:space="0"/>
              <w:bottom w:val="single" w:color="000000" w:sz="4" w:space="0"/>
              <w:right w:val="single" w:color="000000" w:sz="4" w:space="0"/>
            </w:tcBorders>
            <w:vAlign w:val="center"/>
          </w:tcPr>
          <w:p w14:paraId="56E393C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80.00%</w:t>
            </w:r>
          </w:p>
        </w:tc>
      </w:tr>
      <w:tr w14:paraId="593331E4">
        <w:tblPrEx>
          <w:tblCellMar>
            <w:top w:w="0" w:type="dxa"/>
            <w:left w:w="108" w:type="dxa"/>
            <w:bottom w:w="0" w:type="dxa"/>
            <w:right w:w="108" w:type="dxa"/>
          </w:tblCellMar>
        </w:tblPrEx>
        <w:trPr>
          <w:trHeight w:val="56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2C09A2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效益</w:t>
            </w:r>
          </w:p>
        </w:tc>
        <w:tc>
          <w:tcPr>
            <w:tcW w:w="1860" w:type="dxa"/>
            <w:tcBorders>
              <w:top w:val="single" w:color="000000" w:sz="4" w:space="0"/>
              <w:left w:val="single" w:color="000000" w:sz="4" w:space="0"/>
              <w:bottom w:val="single" w:color="000000" w:sz="4" w:space="0"/>
              <w:right w:val="single" w:color="000000" w:sz="4" w:space="0"/>
            </w:tcBorders>
            <w:vAlign w:val="center"/>
          </w:tcPr>
          <w:p w14:paraId="08A6B0F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30</w:t>
            </w:r>
          </w:p>
        </w:tc>
        <w:tc>
          <w:tcPr>
            <w:tcW w:w="2360" w:type="dxa"/>
            <w:tcBorders>
              <w:top w:val="single" w:color="000000" w:sz="4" w:space="0"/>
              <w:left w:val="single" w:color="000000" w:sz="4" w:space="0"/>
              <w:bottom w:val="single" w:color="000000" w:sz="4" w:space="0"/>
              <w:right w:val="single" w:color="000000" w:sz="4" w:space="0"/>
            </w:tcBorders>
            <w:vAlign w:val="center"/>
          </w:tcPr>
          <w:p w14:paraId="7DDFABC6">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22</w:t>
            </w:r>
          </w:p>
        </w:tc>
        <w:tc>
          <w:tcPr>
            <w:tcW w:w="2800" w:type="dxa"/>
            <w:tcBorders>
              <w:top w:val="single" w:color="000000" w:sz="4" w:space="0"/>
              <w:left w:val="single" w:color="000000" w:sz="4" w:space="0"/>
              <w:bottom w:val="single" w:color="000000" w:sz="4" w:space="0"/>
              <w:right w:val="single" w:color="000000" w:sz="4" w:space="0"/>
            </w:tcBorders>
            <w:vAlign w:val="center"/>
          </w:tcPr>
          <w:p w14:paraId="08CDC60A">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73.33%</w:t>
            </w:r>
          </w:p>
        </w:tc>
      </w:tr>
      <w:tr w14:paraId="7484B6F8">
        <w:tblPrEx>
          <w:tblCellMar>
            <w:top w:w="0" w:type="dxa"/>
            <w:left w:w="108" w:type="dxa"/>
            <w:bottom w:w="0" w:type="dxa"/>
            <w:right w:w="108" w:type="dxa"/>
          </w:tblCellMar>
        </w:tblPrEx>
        <w:trPr>
          <w:trHeight w:val="567" w:hRule="atLeast"/>
        </w:trPr>
        <w:tc>
          <w:tcPr>
            <w:tcW w:w="1980" w:type="dxa"/>
            <w:tcBorders>
              <w:top w:val="single" w:color="000000" w:sz="4" w:space="0"/>
              <w:left w:val="single" w:color="000000" w:sz="4" w:space="0"/>
              <w:bottom w:val="single" w:color="000000" w:sz="4" w:space="0"/>
              <w:right w:val="single" w:color="000000" w:sz="4" w:space="0"/>
            </w:tcBorders>
            <w:vAlign w:val="center"/>
          </w:tcPr>
          <w:p w14:paraId="1C0DE3E1">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合计</w:t>
            </w:r>
          </w:p>
        </w:tc>
        <w:tc>
          <w:tcPr>
            <w:tcW w:w="1860" w:type="dxa"/>
            <w:tcBorders>
              <w:top w:val="single" w:color="000000" w:sz="4" w:space="0"/>
              <w:left w:val="single" w:color="000000" w:sz="4" w:space="0"/>
              <w:bottom w:val="single" w:color="000000" w:sz="4" w:space="0"/>
              <w:right w:val="single" w:color="000000" w:sz="4" w:space="0"/>
            </w:tcBorders>
            <w:vAlign w:val="center"/>
          </w:tcPr>
          <w:p w14:paraId="5BEBDF5E">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100</w:t>
            </w:r>
          </w:p>
        </w:tc>
        <w:tc>
          <w:tcPr>
            <w:tcW w:w="2360" w:type="dxa"/>
            <w:tcBorders>
              <w:top w:val="single" w:color="000000" w:sz="4" w:space="0"/>
              <w:left w:val="single" w:color="000000" w:sz="4" w:space="0"/>
              <w:bottom w:val="single" w:color="000000" w:sz="4" w:space="0"/>
              <w:right w:val="single" w:color="000000" w:sz="4" w:space="0"/>
            </w:tcBorders>
            <w:vAlign w:val="center"/>
          </w:tcPr>
          <w:p w14:paraId="02E4EE92">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73.66</w:t>
            </w:r>
          </w:p>
        </w:tc>
        <w:tc>
          <w:tcPr>
            <w:tcW w:w="2800" w:type="dxa"/>
            <w:tcBorders>
              <w:top w:val="single" w:color="000000" w:sz="4" w:space="0"/>
              <w:left w:val="single" w:color="000000" w:sz="4" w:space="0"/>
              <w:bottom w:val="single" w:color="000000" w:sz="4" w:space="0"/>
              <w:right w:val="single" w:color="000000" w:sz="4" w:space="0"/>
            </w:tcBorders>
            <w:vAlign w:val="center"/>
          </w:tcPr>
          <w:p w14:paraId="23A10D37">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73.66%</w:t>
            </w:r>
          </w:p>
        </w:tc>
      </w:tr>
      <w:tr w14:paraId="2D834FC7">
        <w:tblPrEx>
          <w:tblCellMar>
            <w:top w:w="0" w:type="dxa"/>
            <w:left w:w="108" w:type="dxa"/>
            <w:bottom w:w="0" w:type="dxa"/>
            <w:right w:w="108" w:type="dxa"/>
          </w:tblCellMar>
        </w:tblPrEx>
        <w:trPr>
          <w:trHeight w:val="567" w:hRule="atLeast"/>
        </w:trPr>
        <w:tc>
          <w:tcPr>
            <w:tcW w:w="9000" w:type="dxa"/>
            <w:gridSpan w:val="4"/>
            <w:tcBorders>
              <w:top w:val="single" w:color="000000" w:sz="4" w:space="0"/>
              <w:left w:val="single" w:color="000000" w:sz="4" w:space="0"/>
              <w:bottom w:val="single" w:color="000000" w:sz="4" w:space="0"/>
              <w:right w:val="single" w:color="000000" w:sz="4" w:space="0"/>
            </w:tcBorders>
            <w:vAlign w:val="center"/>
          </w:tcPr>
          <w:p w14:paraId="226C3D95">
            <w:pPr>
              <w:keepNext w:val="0"/>
              <w:keepLines w:val="0"/>
              <w:pageBreakBefore w:val="0"/>
              <w:widowControl/>
              <w:kinsoku/>
              <w:wordWrap/>
              <w:overflowPunct/>
              <w:topLinePunct w:val="0"/>
              <w:autoSpaceDE/>
              <w:autoSpaceDN/>
              <w:bidi w:val="0"/>
              <w:adjustRightInd w:val="0"/>
              <w:snapToGrid w:val="0"/>
              <w:spacing w:line="300" w:lineRule="exact"/>
              <w:jc w:val="center"/>
              <w:textAlignment w:val="center"/>
              <w:rPr>
                <w:rFonts w:hint="eastAsia" w:ascii="Times New Roman" w:hAnsi="Times New Roman" w:eastAsia="仿宋" w:cs="仿宋"/>
                <w:color w:val="000000"/>
                <w:kern w:val="0"/>
                <w:sz w:val="24"/>
                <w:lang w:bidi="ar"/>
              </w:rPr>
            </w:pPr>
            <w:r>
              <w:rPr>
                <w:rFonts w:hint="eastAsia" w:ascii="Times New Roman" w:hAnsi="Times New Roman" w:eastAsia="仿宋" w:cs="仿宋"/>
                <w:color w:val="000000"/>
                <w:kern w:val="0"/>
                <w:sz w:val="24"/>
                <w:lang w:bidi="ar"/>
              </w:rPr>
              <w:t>绩效评价得分：73.66分          综合评价结果等级：中</w:t>
            </w:r>
          </w:p>
        </w:tc>
      </w:tr>
    </w:tbl>
    <w:p w14:paraId="662F1E58">
      <w:pPr>
        <w:pStyle w:val="2"/>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textAlignment w:val="auto"/>
        <w:rPr>
          <w:rFonts w:hint="eastAsia"/>
          <w:lang w:val="en-US" w:eastAsia="zh-CN"/>
        </w:rPr>
      </w:pPr>
    </w:p>
    <w:p w14:paraId="3E35EDD8">
      <w:pPr>
        <w:keepNext w:val="0"/>
        <w:keepLines w:val="0"/>
        <w:pageBreakBefore w:val="0"/>
        <w:kinsoku/>
        <w:wordWrap/>
        <w:overflowPunct/>
        <w:topLinePunct w:val="0"/>
        <w:autoSpaceDE/>
        <w:autoSpaceDN/>
        <w:bidi w:val="0"/>
        <w:adjustRightInd/>
        <w:snapToGrid/>
        <w:spacing w:line="578" w:lineRule="exact"/>
        <w:ind w:firstLine="640" w:firstLineChars="200"/>
        <w:outlineLvl w:val="9"/>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三</w:t>
      </w:r>
      <w:r>
        <w:rPr>
          <w:rFonts w:hint="eastAsia" w:ascii="Times New Roman" w:hAnsi="Times New Roman" w:eastAsia="黑体" w:cs="黑体"/>
          <w:sz w:val="32"/>
          <w:szCs w:val="32"/>
          <w:highlight w:val="none"/>
        </w:rPr>
        <w:t>、存在的问题</w:t>
      </w:r>
    </w:p>
    <w:p w14:paraId="460449E6">
      <w:pPr>
        <w:pStyle w:val="10"/>
        <w:keepNext w:val="0"/>
        <w:keepLines w:val="0"/>
        <w:pageBreakBefore w:val="0"/>
        <w:kinsoku/>
        <w:wordWrap/>
        <w:overflowPunct/>
        <w:topLinePunct w:val="0"/>
        <w:autoSpaceDE/>
        <w:autoSpaceDN/>
        <w:bidi w:val="0"/>
        <w:adjustRightInd/>
        <w:snapToGrid/>
        <w:spacing w:line="578" w:lineRule="exact"/>
        <w:ind w:firstLine="643"/>
        <w:rPr>
          <w:rFonts w:hint="default"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（一）预算管理存在疏漏，制度执行有待加强</w:t>
      </w:r>
    </w:p>
    <w:p w14:paraId="0777D109">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1.资金支出方式及内容存在差异。一是部分乡镇将资金直接用于支付办公耗材、复印机维修等办公费用；二是部分乡镇将资金拨付至村委会及居民委员会，村委会及居委会未支出资金；三是部分村委会及居委会将资金用于购买办公用品、维修打印机等办公费用，将票据报至乡镇进行报账。</w:t>
      </w:r>
    </w:p>
    <w:p w14:paraId="0C022782">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2.预算执行率偏低。截至2025年6月30日，已支出资金7.3278万元，项目下达资金25.35万元，预算执行率为28.91%，预算执行率偏低。</w:t>
      </w:r>
    </w:p>
    <w:p w14:paraId="7BA7E490">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3.未按要求制定项目工作方案及实施办法。《中共中央办公厅 国务院办公厅印发&lt;关于国有企业退休人员社会化管理的指导意见&gt;的通知》文件要求：“地方党委和政府要统筹谋划，制定工作方案和具体实施办法，完善相关配套政策措施”。西乡县未结合地方实际制定国有企业退休人员社会化管理工作方案和实施办法，不符合文件要求。</w:t>
      </w:r>
    </w:p>
    <w:p w14:paraId="2EA3575D">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4.项目监管不足。国有企业退休人员社会化管理补助资金项目共涉及16个</w:t>
      </w:r>
      <w:r>
        <w:rPr>
          <w:rFonts w:hint="eastAsia" w:ascii="Times New Roman" w:hAnsi="Times New Roman" w:eastAsia="仿宋_GB2312"/>
          <w:sz w:val="32"/>
          <w:szCs w:val="32"/>
          <w:lang w:val="en-US" w:eastAsia="zh-CN"/>
        </w:rPr>
        <w:t>镇（街道）</w:t>
      </w:r>
      <w:r>
        <w:rPr>
          <w:rFonts w:hint="eastAsia" w:ascii="Times New Roman" w:hAnsi="Times New Roman" w:eastAsia="仿宋_GB2312" w:cs="仿宋_GB2312"/>
          <w:kern w:val="2"/>
          <w:sz w:val="32"/>
          <w:szCs w:val="32"/>
          <w:lang w:val="en-US" w:eastAsia="zh-CN" w:bidi="ar-SA"/>
        </w:rPr>
        <w:t>，其中城北街道办及白龙塘镇已提供实施方案，实施方案中落实了工作领导小组，且责任划分明确，其余14个</w:t>
      </w:r>
      <w:r>
        <w:rPr>
          <w:rFonts w:hint="eastAsia" w:ascii="Times New Roman" w:hAnsi="Times New Roman" w:eastAsia="仿宋_GB2312"/>
          <w:sz w:val="32"/>
          <w:szCs w:val="32"/>
          <w:lang w:val="en-US" w:eastAsia="zh-CN"/>
        </w:rPr>
        <w:t>镇（街道）</w:t>
      </w:r>
      <w:r>
        <w:rPr>
          <w:rFonts w:hint="eastAsia" w:ascii="Times New Roman" w:hAnsi="Times New Roman" w:eastAsia="仿宋_GB2312" w:cs="仿宋_GB2312"/>
          <w:kern w:val="2"/>
          <w:sz w:val="32"/>
          <w:szCs w:val="32"/>
          <w:lang w:val="en-US" w:eastAsia="zh-CN" w:bidi="ar-SA"/>
        </w:rPr>
        <w:t>未提供项目实施方案，无法判断是否已落实监管责任以及责任划分是否明确。部分乡镇将资金下达至社区或村民委员会，对资金支出情况及资金支出用途不清楚，项目监管不足。</w:t>
      </w:r>
    </w:p>
    <w:p w14:paraId="6BA9B3E6">
      <w:pPr>
        <w:pStyle w:val="10"/>
        <w:keepNext w:val="0"/>
        <w:keepLines w:val="0"/>
        <w:pageBreakBefore w:val="0"/>
        <w:kinsoku/>
        <w:wordWrap/>
        <w:overflowPunct/>
        <w:topLinePunct w:val="0"/>
        <w:autoSpaceDE/>
        <w:autoSpaceDN/>
        <w:bidi w:val="0"/>
        <w:adjustRightInd/>
        <w:snapToGrid/>
        <w:spacing w:line="578" w:lineRule="exact"/>
        <w:ind w:firstLine="643"/>
        <w:rPr>
          <w:rFonts w:hint="default"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（二）国有退休人员社会化管理工作计划性不足</w:t>
      </w:r>
    </w:p>
    <w:p w14:paraId="417B0442">
      <w:pPr>
        <w:keepNext w:val="0"/>
        <w:keepLines w:val="0"/>
        <w:pageBreakBefore w:val="0"/>
        <w:kinsoku/>
        <w:wordWrap/>
        <w:overflowPunct/>
        <w:topLinePunct w:val="0"/>
        <w:autoSpaceDE/>
        <w:autoSpaceDN/>
        <w:bidi w:val="0"/>
        <w:adjustRightInd/>
        <w:snapToGrid/>
        <w:spacing w:line="578"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sz w:val="32"/>
          <w:szCs w:val="32"/>
          <w:lang w:val="en-US" w:eastAsia="zh-CN"/>
        </w:rPr>
        <w:t>通过核查已提供的资料，城北街道办在2024年度开展了国企退休人员节日慰问、健康讲座、文艺汇演等活动，落实退休人员各项待遇保障等工作；白龙塘镇对退休人员档案进行数字化管理、开展节日慰问，但城北街道办及白龙塘镇均未制定详细的工作计划。除城北街道办及白龙塘镇外，其余14个镇办均未提供国有企业退休人员社会化管理工作计划及工作实施情况，国有退休人员社会化管理工作计划性不足。</w:t>
      </w:r>
    </w:p>
    <w:p w14:paraId="0DD7027B">
      <w:pPr>
        <w:pStyle w:val="10"/>
        <w:keepNext w:val="0"/>
        <w:keepLines w:val="0"/>
        <w:pageBreakBefore w:val="0"/>
        <w:kinsoku/>
        <w:wordWrap/>
        <w:overflowPunct/>
        <w:topLinePunct w:val="0"/>
        <w:autoSpaceDE/>
        <w:autoSpaceDN/>
        <w:bidi w:val="0"/>
        <w:adjustRightInd/>
        <w:snapToGrid/>
        <w:spacing w:line="578" w:lineRule="exact"/>
        <w:ind w:firstLine="643"/>
        <w:rPr>
          <w:rFonts w:hint="default"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（三）政策宣传力度不足</w:t>
      </w:r>
    </w:p>
    <w:p w14:paraId="3D43F4F7">
      <w:pPr>
        <w:keepNext w:val="0"/>
        <w:keepLines w:val="0"/>
        <w:pageBreakBefore w:val="0"/>
        <w:kinsoku/>
        <w:wordWrap/>
        <w:overflowPunct/>
        <w:topLinePunct w:val="0"/>
        <w:autoSpaceDE/>
        <w:autoSpaceDN/>
        <w:bidi w:val="0"/>
        <w:adjustRightInd/>
        <w:snapToGrid/>
        <w:spacing w:line="578"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sz w:val="32"/>
          <w:szCs w:val="32"/>
          <w:lang w:val="en-US" w:eastAsia="zh-CN"/>
        </w:rPr>
        <w:t>根据满意度问卷“您是否了解国有企业退休人员社会化管理相关政策?”，共回收275份问卷，受访者选“非常了解”的比例为63.64%，选“一般”的比例为31.64%，选“不了解”的比例为4.73%，国企退休人员社会化管理政策知晓率为79.46%，政策宣传力度有待强化。</w:t>
      </w:r>
    </w:p>
    <w:p w14:paraId="2BF12EE3">
      <w:pPr>
        <w:keepNext w:val="0"/>
        <w:keepLines w:val="0"/>
        <w:pageBreakBefore w:val="0"/>
        <w:kinsoku/>
        <w:wordWrap/>
        <w:overflowPunct/>
        <w:topLinePunct w:val="0"/>
        <w:autoSpaceDE/>
        <w:autoSpaceDN/>
        <w:bidi w:val="0"/>
        <w:adjustRightInd/>
        <w:snapToGrid/>
        <w:spacing w:line="578" w:lineRule="exact"/>
        <w:ind w:firstLine="640" w:firstLineChars="200"/>
        <w:outlineLvl w:val="9"/>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lang w:val="en-US" w:eastAsia="zh-CN"/>
        </w:rPr>
        <w:t>四</w:t>
      </w:r>
      <w:r>
        <w:rPr>
          <w:rFonts w:hint="eastAsia" w:ascii="Times New Roman" w:hAnsi="Times New Roman" w:eastAsia="黑体" w:cs="黑体"/>
          <w:sz w:val="32"/>
          <w:szCs w:val="32"/>
          <w:highlight w:val="none"/>
        </w:rPr>
        <w:t>、有关建议</w:t>
      </w:r>
    </w:p>
    <w:p w14:paraId="350A8E78">
      <w:pPr>
        <w:pStyle w:val="10"/>
        <w:keepNext w:val="0"/>
        <w:keepLines w:val="0"/>
        <w:pageBreakBefore w:val="0"/>
        <w:kinsoku/>
        <w:wordWrap/>
        <w:overflowPunct/>
        <w:topLinePunct w:val="0"/>
        <w:autoSpaceDE/>
        <w:autoSpaceDN/>
        <w:bidi w:val="0"/>
        <w:adjustRightInd/>
        <w:snapToGrid/>
        <w:spacing w:line="578" w:lineRule="exact"/>
        <w:ind w:firstLine="643"/>
        <w:rPr>
          <w:rFonts w:hint="eastAsia"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（一）积极补齐预算管理漏洞，细化项目实施方案</w:t>
      </w:r>
    </w:p>
    <w:p w14:paraId="42CED3F7">
      <w:pPr>
        <w:pStyle w:val="10"/>
        <w:keepNext w:val="0"/>
        <w:keepLines w:val="0"/>
        <w:pageBreakBefore w:val="0"/>
        <w:kinsoku/>
        <w:wordWrap/>
        <w:overflowPunct/>
        <w:topLinePunct w:val="0"/>
        <w:autoSpaceDE/>
        <w:autoSpaceDN/>
        <w:bidi w:val="0"/>
        <w:adjustRightInd/>
        <w:snapToGrid/>
        <w:spacing w:line="578" w:lineRule="exact"/>
        <w:ind w:firstLine="643"/>
        <w:rPr>
          <w:rFonts w:hint="eastAsia" w:ascii="Times New Roman" w:hAnsi="Times New Roman" w:eastAsia="楷体"/>
          <w:b/>
          <w:bCs/>
          <w:lang w:val="en-US" w:eastAsia="zh-CN"/>
        </w:rPr>
      </w:pPr>
      <w:r>
        <w:rPr>
          <w:rFonts w:hint="eastAsia" w:ascii="Times New Roman" w:hAnsi="Times New Roman" w:eastAsia="仿宋_GB2312"/>
          <w:sz w:val="32"/>
          <w:szCs w:val="32"/>
          <w:lang w:val="en-US" w:eastAsia="zh-CN"/>
        </w:rPr>
        <w:t>建议西乡县人民政府针对国有企业退休人员社会化管理工作制定符合西乡县实际的实施方案及实施办法，细化项目工作内容及资金支出范围，压实项目各单位监管责任，细化单位职责分工，切实履行对应职责。定期对相关街道办及乡镇的资金支出情况及项目开展情况进行监督检查，对于项目实施进度滞后或资金支出违规情况，责令限期整改并退回违规支出资金。建议西乡县财政局及时拨付项目资金，各镇（街道）在资金支出合规的前提下加快资金申请支付进度。</w:t>
      </w:r>
    </w:p>
    <w:p w14:paraId="094568BF">
      <w:pPr>
        <w:pStyle w:val="10"/>
        <w:keepNext w:val="0"/>
        <w:keepLines w:val="0"/>
        <w:pageBreakBefore w:val="0"/>
        <w:kinsoku/>
        <w:wordWrap/>
        <w:overflowPunct/>
        <w:topLinePunct w:val="0"/>
        <w:autoSpaceDE/>
        <w:autoSpaceDN/>
        <w:bidi w:val="0"/>
        <w:adjustRightInd/>
        <w:snapToGrid/>
        <w:spacing w:line="578" w:lineRule="exact"/>
        <w:ind w:firstLine="643"/>
        <w:rPr>
          <w:rFonts w:hint="eastAsia"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（二）提前谋划项目工作，细致编制年度计划</w:t>
      </w:r>
    </w:p>
    <w:p w14:paraId="6413314E">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楷体"/>
          <w:b/>
          <w:bCs/>
          <w:lang w:val="en-US" w:eastAsia="zh-CN"/>
        </w:rPr>
      </w:pPr>
      <w:r>
        <w:rPr>
          <w:rFonts w:hint="eastAsia" w:ascii="Times New Roman" w:hAnsi="Times New Roman" w:eastAsia="仿宋_GB2312"/>
          <w:sz w:val="32"/>
          <w:szCs w:val="32"/>
          <w:lang w:val="en-US" w:eastAsia="zh-CN"/>
        </w:rPr>
        <w:t>建议各</w:t>
      </w:r>
      <w:r>
        <w:rPr>
          <w:rFonts w:hint="eastAsia" w:ascii="Times New Roman" w:hAnsi="Times New Roman" w:eastAsia="仿宋_GB2312"/>
          <w:sz w:val="32"/>
          <w:szCs w:val="32"/>
          <w:lang w:val="en-US" w:eastAsia="zh-CN"/>
        </w:rPr>
        <w:t>镇（街道）</w:t>
      </w:r>
      <w:r>
        <w:rPr>
          <w:rFonts w:hint="eastAsia" w:ascii="Times New Roman" w:hAnsi="Times New Roman" w:eastAsia="仿宋_GB2312"/>
          <w:sz w:val="32"/>
          <w:szCs w:val="32"/>
          <w:lang w:val="en-US" w:eastAsia="zh-CN"/>
        </w:rPr>
        <w:t>结合西乡县退休人员分布及服务需求，通过问卷、入户访谈摸清高频诉求，为年度工作计划制定提供数据支撑。明确年度目标，将年度目标任务分解成季度任务（如完成档案移交、开展健康体检、组织文体活动）等，细化责任主体（乡镇负责统筹、社区落实服务、企业配合移交），量化年度工作任务。实行“月调度、季评估”，每月通过乡镇-社区联席会跟踪进度，针对滞后任务分析原因并调整资源，每季度结合退休人员反馈优化计划，完善“企业+社区+志愿者”协作网络，企业提供退休人员信息支持，社区整合医疗、文化资源，志愿者辅助活动开展，形成执行合力。</w:t>
      </w:r>
    </w:p>
    <w:p w14:paraId="0CECFC24">
      <w:pPr>
        <w:pStyle w:val="10"/>
        <w:keepNext w:val="0"/>
        <w:keepLines w:val="0"/>
        <w:pageBreakBefore w:val="0"/>
        <w:kinsoku/>
        <w:wordWrap/>
        <w:overflowPunct/>
        <w:topLinePunct w:val="0"/>
        <w:autoSpaceDE/>
        <w:autoSpaceDN/>
        <w:bidi w:val="0"/>
        <w:adjustRightInd/>
        <w:snapToGrid/>
        <w:spacing w:line="578" w:lineRule="exact"/>
        <w:ind w:firstLine="643"/>
        <w:rPr>
          <w:rFonts w:hint="default" w:ascii="Times New Roman" w:hAnsi="Times New Roman" w:eastAsia="楷体_GB2312" w:cs="楷体_GB2312"/>
          <w:b w:val="0"/>
          <w:bCs w:val="0"/>
          <w:kern w:val="2"/>
          <w:sz w:val="32"/>
          <w:szCs w:val="32"/>
          <w:lang w:val="en-US" w:eastAsia="zh-CN" w:bidi="ar-SA"/>
        </w:rPr>
      </w:pPr>
      <w:r>
        <w:rPr>
          <w:rFonts w:hint="eastAsia" w:ascii="Times New Roman" w:hAnsi="Times New Roman" w:eastAsia="楷体_GB2312" w:cs="楷体_GB2312"/>
          <w:b w:val="0"/>
          <w:bCs w:val="0"/>
          <w:kern w:val="2"/>
          <w:sz w:val="32"/>
          <w:szCs w:val="32"/>
          <w:lang w:val="en-US" w:eastAsia="zh-CN" w:bidi="ar-SA"/>
        </w:rPr>
        <w:t>（三）构建多渠道宣传矩阵，创新宣传内容与形式</w:t>
      </w:r>
    </w:p>
    <w:p w14:paraId="0ABD02E8">
      <w:pPr>
        <w:keepNext w:val="0"/>
        <w:keepLines w:val="0"/>
        <w:pageBreakBefore w:val="0"/>
        <w:kinsoku/>
        <w:wordWrap/>
        <w:overflowPunct/>
        <w:topLinePunct w:val="0"/>
        <w:autoSpaceDE/>
        <w:autoSpaceDN/>
        <w:bidi w:val="0"/>
        <w:adjustRightInd/>
        <w:snapToGrid/>
        <w:spacing w:line="578" w:lineRule="exact"/>
        <w:ind w:firstLine="640" w:firstLineChars="200"/>
        <w:rPr>
          <w:rFonts w:hint="eastAsia" w:ascii="Times New Roman" w:hAnsi="Times New Roman" w:eastAsia="楷体"/>
          <w:b/>
          <w:bCs/>
          <w:lang w:val="en-US" w:eastAsia="zh-CN"/>
        </w:rPr>
      </w:pPr>
      <w:r>
        <w:rPr>
          <w:rFonts w:hint="eastAsia" w:ascii="Times New Roman" w:hAnsi="Times New Roman" w:eastAsia="仿宋_GB2312"/>
          <w:sz w:val="32"/>
          <w:szCs w:val="32"/>
          <w:lang w:val="en-US" w:eastAsia="zh-CN"/>
        </w:rPr>
        <w:t>建议各</w:t>
      </w:r>
      <w:r>
        <w:rPr>
          <w:rFonts w:hint="eastAsia" w:ascii="Times New Roman" w:hAnsi="Times New Roman" w:eastAsia="仿宋_GB2312"/>
          <w:sz w:val="32"/>
          <w:szCs w:val="32"/>
          <w:lang w:val="en-US" w:eastAsia="zh-CN"/>
        </w:rPr>
        <w:t>镇（街道）</w:t>
      </w:r>
      <w:r>
        <w:rPr>
          <w:rFonts w:hint="eastAsia" w:ascii="Times New Roman" w:hAnsi="Times New Roman" w:eastAsia="仿宋_GB2312"/>
          <w:sz w:val="32"/>
          <w:szCs w:val="32"/>
          <w:lang w:val="en-US" w:eastAsia="zh-CN"/>
        </w:rPr>
        <w:t>利用微信公众号、短视频平台（如抖音、快手）、微信群等途径发布国有企业退休人员社会化管理政策解读图文、短视频等。依托企业退休办、社区服务中心，通过企业原有渠道（如退休办短信、工会活动）定向推送政策；联合社区网格员对高龄、行动不便人员入户讲解，利用社区公告栏、老年活动室张贴可视化图解；组织政策宣讲会、座谈会，深入企业、社区、农村进行讲解。将政策文件转化为“十问十答”口语化解读，重点突出养老金发放、医保报销等高频问题；邀请已享受服务的退休人员现身说法，通过企业内刊、公众号传播典型案例，增强信任感。</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5E2C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CAAC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E0CAAC0">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025AC7"/>
    <w:rsid w:val="22E013CE"/>
    <w:rsid w:val="26FB477E"/>
    <w:rsid w:val="5B776B2D"/>
    <w:rsid w:val="5D025AC7"/>
    <w:rsid w:val="65123962"/>
    <w:rsid w:val="673D17CC"/>
    <w:rsid w:val="67D07F50"/>
    <w:rsid w:val="75E816D7"/>
    <w:rsid w:val="78656BA2"/>
    <w:rsid w:val="7A0A1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99"/>
    <w:pPr>
      <w:ind w:firstLine="540"/>
    </w:pPr>
    <w:rPr>
      <w:rFonts w:ascii="仿宋_GB2312" w:eastAsia="仿宋_GB2312"/>
      <w:sz w:val="28"/>
      <w:szCs w:val="20"/>
    </w:rPr>
  </w:style>
  <w:style w:type="paragraph" w:styleId="4">
    <w:name w:val="Body Text"/>
    <w:basedOn w:val="1"/>
    <w:next w:val="1"/>
    <w:unhideWhenUsed/>
    <w:qFormat/>
    <w:uiPriority w:val="99"/>
    <w:pPr>
      <w:tabs>
        <w:tab w:val="left" w:pos="0"/>
      </w:tabs>
    </w:pPr>
    <w:rPr>
      <w:rFonts w:ascii="宋体" w:hAnsi="宋体" w:eastAsia="仿宋_GB2312"/>
      <w:color w:val="00000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渭南）"/>
    <w:basedOn w:val="11"/>
    <w:qFormat/>
    <w:uiPriority w:val="0"/>
    <w:pPr>
      <w:spacing w:line="560" w:lineRule="exact"/>
      <w:ind w:firstLine="200"/>
    </w:pPr>
    <w:rPr>
      <w:rFonts w:ascii="仿宋" w:hAnsi="仿宋" w:eastAsia="仿宋" w:cs="仿宋"/>
      <w:sz w:val="32"/>
      <w:szCs w:val="32"/>
    </w:rPr>
  </w:style>
  <w:style w:type="paragraph" w:styleId="11">
    <w:name w:val="List Paragraph"/>
    <w:basedOn w:val="1"/>
    <w:unhideWhenUsed/>
    <w:qFormat/>
    <w:uiPriority w:val="99"/>
    <w:pPr>
      <w:widowControl w:val="0"/>
      <w:ind w:firstLine="420" w:firstLineChars="200"/>
      <w:jc w:val="both"/>
    </w:pPr>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2430</Words>
  <Characters>2570</Characters>
  <Lines>0</Lines>
  <Paragraphs>0</Paragraphs>
  <TotalTime>6</TotalTime>
  <ScaleCrop>false</ScaleCrop>
  <LinksUpToDate>false</LinksUpToDate>
  <CharactersWithSpaces>2582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2025-12-08T07:48:00Z</dcterms:created>
  <dc:creator>王晗</dc:creator>
  <cp:lastModifiedBy>exquisite</cp:lastModifiedBy>
  <dcterms:modified xsi:type="dcterms:W3CDTF">2025-12-19T07:39:52Z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876FB843DB394831A95746FE6DC77EFB_11</vt:lpwstr>
  </property>
  <property fmtid="{D5CDD505-2E9C-101B-9397-08002B2CF9AE}" pid="4" name="KSOTemplateDocerSaveRecord">
    <vt:lpwstr>eyJoZGlkIjoiZmIxMmRmYTA5NGU0NDQ0ZTlkMzRlNWJlNTFlZWI4MDUiLCJ1c2VySWQiOiI0MzIwMDYxOTQifQ==</vt:lpwstr>
  </property>
</Properties>
</file>