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25D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2024年机关事业养老保险项目</w:t>
      </w:r>
    </w:p>
    <w:p w14:paraId="32280E7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绩效评价报告</w:t>
      </w:r>
    </w:p>
    <w:p w14:paraId="5C31118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lang w:eastAsia="zh-CN"/>
        </w:rPr>
      </w:pPr>
    </w:p>
    <w:p w14:paraId="7AA249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Times New Roman" w:hAnsi="Times New Roman" w:eastAsia="黑体" w:cs="Times New Roman"/>
          <w:sz w:val="32"/>
          <w:szCs w:val="32"/>
          <w:highlight w:val="none"/>
        </w:rPr>
      </w:pPr>
      <w:bookmarkStart w:id="0" w:name="_Toc5749"/>
      <w:bookmarkStart w:id="1" w:name="_Toc23549"/>
      <w:bookmarkStart w:id="2" w:name="_Toc21587"/>
      <w:bookmarkStart w:id="3" w:name="_Toc5821"/>
      <w:bookmarkStart w:id="4" w:name="_Toc9799"/>
      <w:bookmarkStart w:id="5" w:name="_Toc7073"/>
      <w:bookmarkStart w:id="6" w:name="_Toc10251"/>
      <w:bookmarkStart w:id="7" w:name="_Toc1219"/>
      <w:bookmarkStart w:id="8" w:name="_Toc21420"/>
      <w:bookmarkStart w:id="9" w:name="_Toc13814"/>
      <w:bookmarkStart w:id="10" w:name="_Toc27785"/>
      <w:bookmarkStart w:id="11" w:name="_Toc578"/>
      <w:bookmarkStart w:id="12" w:name="_Toc15129"/>
      <w:r>
        <w:rPr>
          <w:rFonts w:ascii="Times New Roman" w:hAnsi="Times New Roman" w:eastAsia="黑体" w:cs="Times New Roman"/>
          <w:sz w:val="32"/>
          <w:szCs w:val="32"/>
          <w:highlight w:val="none"/>
        </w:rPr>
        <w:t>一、基本情况</w:t>
      </w:r>
      <w:bookmarkEnd w:id="0"/>
      <w:bookmarkEnd w:id="1"/>
      <w:bookmarkEnd w:id="2"/>
      <w:bookmarkEnd w:id="3"/>
      <w:bookmarkEnd w:id="4"/>
      <w:bookmarkEnd w:id="5"/>
      <w:bookmarkEnd w:id="6"/>
      <w:bookmarkEnd w:id="7"/>
      <w:bookmarkEnd w:id="8"/>
      <w:bookmarkEnd w:id="9"/>
      <w:bookmarkEnd w:id="10"/>
      <w:bookmarkEnd w:id="11"/>
      <w:bookmarkEnd w:id="12"/>
    </w:p>
    <w:p w14:paraId="2D20E3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rPr>
      </w:pPr>
      <w:bookmarkStart w:id="13" w:name="_Toc32029"/>
      <w:bookmarkStart w:id="14" w:name="_Toc9934"/>
      <w:bookmarkStart w:id="15" w:name="_Toc22354"/>
      <w:bookmarkStart w:id="16" w:name="_Toc22478"/>
      <w:bookmarkStart w:id="17" w:name="_Toc2870"/>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rPr>
        <w:t>项目背景</w:t>
      </w:r>
      <w:bookmarkEnd w:id="13"/>
      <w:bookmarkEnd w:id="14"/>
      <w:bookmarkEnd w:id="15"/>
      <w:bookmarkEnd w:id="16"/>
      <w:bookmarkEnd w:id="17"/>
    </w:p>
    <w:p w14:paraId="416D9B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机关事业单位养老保险制度是我国社会保障制度的重要组成部分。推动机关事业单位养老保险制度改革，是贯彻党中央全面深化改革、全面推进依法治国的决策在社会保障领域的具体实践，也是我国养老保险体系建设的一项重大突破。</w:t>
      </w:r>
    </w:p>
    <w:p w14:paraId="7808DF4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根据《汉中市机关事业单位工作人员养老保险制度改革实施办法》（汉政发〔2016〕4号），机关事业单位基本养老保险实行省级统筹，统一政策，分级管理，自求平衡，建立省级基金调剂制度，所需资金由省级财政预算安排。全省制定和执行统一的机关事业单位基本养老保险制度和政策，统一基本养老保险缴费比例和缴费基数计算口径，统一基本养老金计发办法，统一统筹项目和标准以及基本养老金调整办法，统一编制和实施基本养老保险基金预算，统一基本养老保险业务经办流程和管理制度，统一建设信息管理系统，实现省级集中管理数据资源。西乡县人民政府对本级基本养老保险基金征收、管理和支付负责。</w:t>
      </w:r>
    </w:p>
    <w:p w14:paraId="7D7B69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西乡县财政局根据中央和地方相关政策，对西乡县机关事业单位工作人员基本养老保险实施财政补助，主要用于弥补西乡县机关事业单位参保离退休人员基本养老保险基金的收支缺口。</w:t>
      </w:r>
    </w:p>
    <w:p w14:paraId="67EBD5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18" w:name="_Toc27394"/>
      <w:bookmarkStart w:id="19" w:name="_Toc23507"/>
      <w:bookmarkStart w:id="20" w:name="_Toc1265"/>
      <w:bookmarkStart w:id="21" w:name="_Toc15435"/>
      <w:bookmarkStart w:id="22" w:name="_Toc16866"/>
      <w:r>
        <w:rPr>
          <w:rFonts w:hint="eastAsia" w:ascii="楷体_GB2312" w:hAnsi="楷体_GB2312" w:eastAsia="楷体_GB2312" w:cs="楷体_GB2312"/>
          <w:b w:val="0"/>
          <w:bCs w:val="0"/>
          <w:sz w:val="32"/>
          <w:szCs w:val="32"/>
          <w:highlight w:val="none"/>
          <w:lang w:val="en-US" w:eastAsia="zh-CN"/>
        </w:rPr>
        <w:t>（二）资金投入</w:t>
      </w:r>
      <w:bookmarkEnd w:id="18"/>
      <w:bookmarkEnd w:id="19"/>
      <w:bookmarkEnd w:id="20"/>
      <w:bookmarkEnd w:id="21"/>
      <w:bookmarkEnd w:id="22"/>
    </w:p>
    <w:p w14:paraId="2C2662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收入预算</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2024年度</w:t>
      </w:r>
      <w:r>
        <w:rPr>
          <w:rFonts w:hint="eastAsia" w:ascii="Times New Roman" w:hAnsi="Times New Roman" w:eastAsia="仿宋_GB2312" w:cs="仿宋_GB2312"/>
          <w:b w:val="0"/>
          <w:bCs w:val="0"/>
          <w:sz w:val="32"/>
          <w:szCs w:val="32"/>
          <w:highlight w:val="none"/>
        </w:rPr>
        <w:t>收入预算：3</w:t>
      </w:r>
      <w:r>
        <w:rPr>
          <w:rFonts w:hint="eastAsia" w:ascii="Times New Roman" w:hAnsi="Times New Roman" w:eastAsia="仿宋_GB2312" w:cs="仿宋_GB2312"/>
          <w:b w:val="0"/>
          <w:bCs w:val="0"/>
          <w:sz w:val="32"/>
          <w:szCs w:val="32"/>
          <w:highlight w:val="none"/>
          <w:lang w:val="en-US" w:eastAsia="zh-CN"/>
        </w:rPr>
        <w:t>6,045.85万</w:t>
      </w:r>
      <w:r>
        <w:rPr>
          <w:rFonts w:hint="eastAsia" w:ascii="Times New Roman" w:hAnsi="Times New Roman" w:eastAsia="仿宋_GB2312" w:cs="仿宋_GB2312"/>
          <w:b w:val="0"/>
          <w:bCs w:val="0"/>
          <w:sz w:val="32"/>
          <w:szCs w:val="32"/>
          <w:highlight w:val="none"/>
        </w:rPr>
        <w:t>元（基本养老保险费收入14,689.03万元，财政补贴19</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rPr>
        <w:t>94</w:t>
      </w:r>
      <w:r>
        <w:rPr>
          <w:rFonts w:hint="eastAsia" w:ascii="Times New Roman" w:hAnsi="Times New Roman" w:eastAsia="仿宋_GB2312" w:cs="仿宋_GB2312"/>
          <w:b w:val="0"/>
          <w:bCs w:val="0"/>
          <w:sz w:val="32"/>
          <w:szCs w:val="32"/>
          <w:highlight w:val="none"/>
          <w:lang w:val="en-US" w:eastAsia="zh-CN"/>
        </w:rPr>
        <w:t>3.85万</w:t>
      </w:r>
      <w:r>
        <w:rPr>
          <w:rFonts w:hint="eastAsia" w:ascii="Times New Roman" w:hAnsi="Times New Roman" w:eastAsia="仿宋_GB2312" w:cs="仿宋_GB2312"/>
          <w:b w:val="0"/>
          <w:bCs w:val="0"/>
          <w:sz w:val="32"/>
          <w:szCs w:val="32"/>
          <w:highlight w:val="none"/>
        </w:rPr>
        <w:t>元，利息收入21.57万元，转移收入606万元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上年结余785.40万元</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预算缴费人数为8481人。</w:t>
      </w:r>
    </w:p>
    <w:p w14:paraId="61F332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支出预算</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2024年</w:t>
      </w:r>
      <w:r>
        <w:rPr>
          <w:rFonts w:hint="eastAsia" w:ascii="Times New Roman" w:hAnsi="Times New Roman" w:eastAsia="仿宋_GB2312" w:cs="仿宋_GB2312"/>
          <w:b w:val="0"/>
          <w:bCs w:val="0"/>
          <w:sz w:val="32"/>
          <w:szCs w:val="32"/>
          <w:highlight w:val="none"/>
        </w:rPr>
        <w:t>支出预算：</w:t>
      </w:r>
      <w:r>
        <w:rPr>
          <w:rFonts w:hint="eastAsia" w:ascii="Times New Roman" w:hAnsi="Times New Roman" w:eastAsia="仿宋_GB2312" w:cs="仿宋_GB2312"/>
          <w:b w:val="0"/>
          <w:bCs w:val="0"/>
          <w:sz w:val="32"/>
          <w:szCs w:val="32"/>
          <w:highlight w:val="none"/>
          <w:lang w:val="en-US" w:eastAsia="zh-CN"/>
        </w:rPr>
        <w:t>36,045.85</w:t>
      </w:r>
      <w:r>
        <w:rPr>
          <w:rFonts w:hint="eastAsia" w:ascii="Times New Roman" w:hAnsi="Times New Roman" w:eastAsia="仿宋_GB2312" w:cs="仿宋_GB2312"/>
          <w:b w:val="0"/>
          <w:bCs w:val="0"/>
          <w:sz w:val="32"/>
          <w:szCs w:val="32"/>
          <w:highlight w:val="none"/>
        </w:rPr>
        <w:t>万元（基本养老金支出3</w:t>
      </w:r>
      <w:r>
        <w:rPr>
          <w:rFonts w:hint="eastAsia" w:ascii="Times New Roman" w:hAnsi="Times New Roman" w:eastAsia="仿宋_GB2312" w:cs="仿宋_GB2312"/>
          <w:b w:val="0"/>
          <w:bCs w:val="0"/>
          <w:sz w:val="32"/>
          <w:szCs w:val="32"/>
          <w:highlight w:val="none"/>
          <w:lang w:val="en-US" w:eastAsia="zh-CN"/>
        </w:rPr>
        <w:t>5,240.45万</w:t>
      </w:r>
      <w:r>
        <w:rPr>
          <w:rFonts w:hint="eastAsia" w:ascii="Times New Roman" w:hAnsi="Times New Roman" w:eastAsia="仿宋_GB2312" w:cs="仿宋_GB2312"/>
          <w:b w:val="0"/>
          <w:bCs w:val="0"/>
          <w:sz w:val="32"/>
          <w:szCs w:val="32"/>
          <w:highlight w:val="none"/>
        </w:rPr>
        <w:t>元，转移支出20万元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年末滚存结余785.04万元</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2024年预算退休领取待遇人数为4946人。</w:t>
      </w:r>
    </w:p>
    <w:p w14:paraId="37B54A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23" w:name="_Toc2397"/>
      <w:bookmarkStart w:id="24" w:name="_Toc26941"/>
      <w:bookmarkStart w:id="25" w:name="_Toc21543"/>
      <w:bookmarkStart w:id="26" w:name="_Toc22345"/>
      <w:bookmarkStart w:id="27" w:name="_Toc26285"/>
      <w:r>
        <w:rPr>
          <w:rFonts w:hint="eastAsia" w:ascii="楷体_GB2312" w:hAnsi="楷体_GB2312" w:eastAsia="楷体_GB2312" w:cs="楷体_GB2312"/>
          <w:b w:val="0"/>
          <w:bCs w:val="0"/>
          <w:sz w:val="32"/>
          <w:szCs w:val="32"/>
          <w:highlight w:val="none"/>
          <w:lang w:val="en-US" w:eastAsia="zh-CN"/>
        </w:rPr>
        <w:t>（三）使用情况</w:t>
      </w:r>
      <w:bookmarkEnd w:id="23"/>
      <w:bookmarkEnd w:id="24"/>
      <w:bookmarkEnd w:id="25"/>
      <w:bookmarkEnd w:id="26"/>
      <w:bookmarkEnd w:id="27"/>
    </w:p>
    <w:p w14:paraId="49B79E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收入执行情况</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2024年实际收入为</w:t>
      </w:r>
      <w:r>
        <w:rPr>
          <w:rFonts w:hint="eastAsia" w:ascii="Times New Roman" w:hAnsi="Times New Roman" w:eastAsia="仿宋_GB2312" w:cs="仿宋_GB2312"/>
          <w:b w:val="0"/>
          <w:bCs w:val="0"/>
          <w:sz w:val="32"/>
          <w:szCs w:val="32"/>
          <w:highlight w:val="none"/>
          <w:lang w:val="en-US" w:eastAsia="zh-CN"/>
        </w:rPr>
        <w:t>35,318.23</w:t>
      </w:r>
      <w:r>
        <w:rPr>
          <w:rFonts w:hint="eastAsia" w:ascii="Times New Roman" w:hAnsi="Times New Roman" w:eastAsia="仿宋_GB2312" w:cs="仿宋_GB2312"/>
          <w:b w:val="0"/>
          <w:bCs w:val="0"/>
          <w:sz w:val="32"/>
          <w:szCs w:val="32"/>
          <w:highlight w:val="none"/>
        </w:rPr>
        <w:t>万元，其中基本养老保险费收入</w:t>
      </w:r>
      <w:r>
        <w:rPr>
          <w:rFonts w:hint="eastAsia" w:ascii="Times New Roman" w:hAnsi="Times New Roman" w:eastAsia="仿宋_GB2312" w:cs="仿宋_GB2312"/>
          <w:b w:val="0"/>
          <w:bCs w:val="0"/>
          <w:sz w:val="32"/>
          <w:szCs w:val="32"/>
          <w:highlight w:val="none"/>
          <w:lang w:eastAsia="zh-CN"/>
        </w:rPr>
        <w:t>15,264.79</w:t>
      </w:r>
      <w:r>
        <w:rPr>
          <w:rFonts w:hint="eastAsia" w:ascii="Times New Roman" w:hAnsi="Times New Roman" w:eastAsia="仿宋_GB2312" w:cs="仿宋_GB2312"/>
          <w:b w:val="0"/>
          <w:bCs w:val="0"/>
          <w:sz w:val="32"/>
          <w:szCs w:val="32"/>
          <w:highlight w:val="none"/>
        </w:rPr>
        <w:t>万元，财政补贴收入</w:t>
      </w:r>
      <w:r>
        <w:rPr>
          <w:rFonts w:hint="eastAsia" w:ascii="Times New Roman" w:hAnsi="Times New Roman" w:eastAsia="仿宋_GB2312" w:cs="仿宋_GB2312"/>
          <w:b w:val="0"/>
          <w:bCs w:val="0"/>
          <w:sz w:val="32"/>
          <w:szCs w:val="32"/>
          <w:highlight w:val="none"/>
          <w:lang w:val="en-US" w:eastAsia="zh-CN"/>
        </w:rPr>
        <w:t>18,614.63</w:t>
      </w:r>
      <w:r>
        <w:rPr>
          <w:rFonts w:hint="eastAsia" w:ascii="Times New Roman" w:hAnsi="Times New Roman" w:eastAsia="仿宋_GB2312" w:cs="仿宋_GB2312"/>
          <w:b w:val="0"/>
          <w:bCs w:val="0"/>
          <w:sz w:val="32"/>
          <w:szCs w:val="32"/>
          <w:highlight w:val="none"/>
        </w:rPr>
        <w:t>万元，利息收入15.45万元，转移收入570.19万元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上年结余853.18万元</w:t>
      </w:r>
      <w:r>
        <w:rPr>
          <w:rFonts w:hint="eastAsia" w:ascii="Times New Roman" w:hAnsi="Times New Roman" w:eastAsia="仿宋_GB2312" w:cs="仿宋_GB2312"/>
          <w:b w:val="0"/>
          <w:bCs w:val="0"/>
          <w:sz w:val="32"/>
          <w:szCs w:val="32"/>
          <w:highlight w:val="none"/>
        </w:rPr>
        <w:t>。实际缴费人数为8463人。</w:t>
      </w:r>
    </w:p>
    <w:p w14:paraId="0027A3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支出执行情况</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2024年实际支出为</w:t>
      </w:r>
      <w:r>
        <w:rPr>
          <w:rFonts w:hint="eastAsia" w:ascii="Times New Roman" w:hAnsi="Times New Roman" w:eastAsia="仿宋_GB2312" w:cs="仿宋_GB2312"/>
          <w:b w:val="0"/>
          <w:bCs w:val="0"/>
          <w:sz w:val="32"/>
          <w:szCs w:val="32"/>
          <w:highlight w:val="none"/>
          <w:lang w:val="en-US" w:eastAsia="zh-CN"/>
        </w:rPr>
        <w:t>34,462.90</w:t>
      </w:r>
      <w:r>
        <w:rPr>
          <w:rFonts w:hint="eastAsia" w:ascii="Times New Roman" w:hAnsi="Times New Roman" w:eastAsia="仿宋_GB2312" w:cs="仿宋_GB2312"/>
          <w:b w:val="0"/>
          <w:bCs w:val="0"/>
          <w:sz w:val="32"/>
          <w:szCs w:val="32"/>
          <w:highlight w:val="none"/>
        </w:rPr>
        <w:t>万元，其中</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基本养老金支出34</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rPr>
        <w:t>365.64</w:t>
      </w:r>
      <w:r>
        <w:rPr>
          <w:rFonts w:hint="eastAsia" w:ascii="Times New Roman" w:hAnsi="Times New Roman" w:eastAsia="仿宋_GB2312" w:cs="仿宋_GB2312"/>
          <w:b w:val="0"/>
          <w:bCs w:val="0"/>
          <w:sz w:val="32"/>
          <w:szCs w:val="32"/>
          <w:highlight w:val="none"/>
          <w:lang w:val="en-US" w:eastAsia="zh-CN"/>
        </w:rPr>
        <w:t>万</w:t>
      </w:r>
      <w:r>
        <w:rPr>
          <w:rFonts w:hint="eastAsia" w:ascii="Times New Roman" w:hAnsi="Times New Roman" w:eastAsia="仿宋_GB2312" w:cs="仿宋_GB2312"/>
          <w:b w:val="0"/>
          <w:bCs w:val="0"/>
          <w:sz w:val="32"/>
          <w:szCs w:val="32"/>
          <w:highlight w:val="none"/>
        </w:rPr>
        <w:t>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转移支出97.26万元</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年末滚存结余855.33万元。2024年实际退休领取待遇人数为</w:t>
      </w:r>
      <w:r>
        <w:rPr>
          <w:rFonts w:hint="eastAsia" w:ascii="Times New Roman" w:hAnsi="Times New Roman" w:eastAsia="仿宋_GB2312" w:cs="仿宋_GB2312"/>
          <w:b w:val="0"/>
          <w:bCs w:val="0"/>
          <w:sz w:val="32"/>
          <w:szCs w:val="32"/>
          <w:highlight w:val="none"/>
          <w:lang w:eastAsia="zh-CN"/>
        </w:rPr>
        <w:t>47</w:t>
      </w:r>
      <w:r>
        <w:rPr>
          <w:rFonts w:hint="eastAsia" w:ascii="Times New Roman" w:hAnsi="Times New Roman" w:eastAsia="仿宋_GB2312" w:cs="仿宋_GB2312"/>
          <w:b w:val="0"/>
          <w:bCs w:val="0"/>
          <w:sz w:val="32"/>
          <w:szCs w:val="32"/>
          <w:highlight w:val="none"/>
          <w:lang w:val="en-US" w:eastAsia="zh-CN"/>
        </w:rPr>
        <w:t>46</w:t>
      </w:r>
      <w:r>
        <w:rPr>
          <w:rFonts w:hint="eastAsia" w:ascii="Times New Roman" w:hAnsi="Times New Roman" w:eastAsia="仿宋_GB2312" w:cs="仿宋_GB2312"/>
          <w:b w:val="0"/>
          <w:bCs w:val="0"/>
          <w:sz w:val="32"/>
          <w:szCs w:val="32"/>
          <w:highlight w:val="none"/>
          <w:lang w:eastAsia="zh-CN"/>
        </w:rPr>
        <w:t>人</w:t>
      </w:r>
      <w:r>
        <w:rPr>
          <w:rFonts w:hint="eastAsia" w:ascii="Times New Roman" w:hAnsi="Times New Roman" w:eastAsia="仿宋_GB2312" w:cs="仿宋_GB2312"/>
          <w:b w:val="0"/>
          <w:bCs w:val="0"/>
          <w:sz w:val="32"/>
          <w:szCs w:val="32"/>
          <w:highlight w:val="none"/>
        </w:rPr>
        <w:t>。</w:t>
      </w:r>
    </w:p>
    <w:p w14:paraId="0C007C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Times New Roman" w:hAnsi="Times New Roman" w:eastAsia="黑体" w:cs="Times New Roman"/>
          <w:sz w:val="32"/>
          <w:szCs w:val="32"/>
          <w:highlight w:val="none"/>
        </w:rPr>
      </w:pPr>
      <w:bookmarkStart w:id="28" w:name="_Toc8672"/>
      <w:bookmarkStart w:id="29" w:name="_Toc15102"/>
      <w:bookmarkStart w:id="30" w:name="_Toc25806"/>
      <w:bookmarkStart w:id="31" w:name="_Toc18106"/>
      <w:bookmarkStart w:id="32" w:name="_Toc32074"/>
      <w:bookmarkStart w:id="33" w:name="_Toc25916"/>
      <w:bookmarkStart w:id="34" w:name="_Toc236"/>
      <w:bookmarkStart w:id="35" w:name="_Toc19701"/>
      <w:bookmarkStart w:id="36" w:name="_Toc27657"/>
      <w:bookmarkStart w:id="37" w:name="_Toc23186"/>
      <w:bookmarkStart w:id="38" w:name="_Toc22298"/>
      <w:bookmarkStart w:id="39" w:name="_Toc30748"/>
      <w:bookmarkStart w:id="40" w:name="_Toc32157"/>
      <w:bookmarkStart w:id="41" w:name="_Toc18244"/>
      <w:bookmarkStart w:id="42" w:name="_Toc7389"/>
      <w:r>
        <w:rPr>
          <w:rFonts w:hint="eastAsia" w:ascii="Times New Roman" w:hAnsi="Times New Roman" w:eastAsia="黑体" w:cs="Times New Roman"/>
          <w:sz w:val="32"/>
          <w:szCs w:val="32"/>
          <w:highlight w:val="none"/>
          <w:lang w:val="en-US" w:eastAsia="zh-CN"/>
        </w:rPr>
        <w:t>二</w:t>
      </w:r>
      <w:r>
        <w:rPr>
          <w:rFonts w:ascii="Times New Roman" w:hAnsi="Times New Roman" w:eastAsia="黑体" w:cs="Times New Roman"/>
          <w:sz w:val="32"/>
          <w:szCs w:val="32"/>
          <w:highlight w:val="none"/>
        </w:rPr>
        <w:t>、综合评价情况及评价结论</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FDF4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themeColor="text1"/>
          <w:sz w:val="32"/>
          <w:szCs w:val="40"/>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40"/>
          <w:highlight w:val="none"/>
          <w14:textFill>
            <w14:solidFill>
              <w14:schemeClr w14:val="tx1"/>
            </w14:solidFill>
          </w14:textFill>
        </w:rPr>
        <w:t>总体上看，“2024年机关事业养老保险项目”</w:t>
      </w:r>
      <w:r>
        <w:rPr>
          <w:rFonts w:hint="eastAsia" w:ascii="Times New Roman" w:hAnsi="Times New Roman" w:eastAsia="仿宋_GB2312" w:cs="仿宋_GB2312"/>
          <w:color w:val="000000" w:themeColor="text1"/>
          <w:sz w:val="32"/>
          <w:szCs w:val="40"/>
          <w:highlight w:val="none"/>
          <w:lang w:val="en-US" w:eastAsia="zh-CN"/>
          <w14:textFill>
            <w14:solidFill>
              <w14:schemeClr w14:val="tx1"/>
            </w14:solidFill>
          </w14:textFill>
        </w:rPr>
        <w:t>立项依据充分、程序规范，绩效目标合理、指标明确，资金分配合理；资金管理合规，项目实施有效，项目产出数量、质量、时效完成度高，成本控制得当，社会效益良好，参保人员对机关养老保险制度的满意度高。</w:t>
      </w:r>
    </w:p>
    <w:p w14:paraId="070C7A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themeColor="text1"/>
          <w:sz w:val="32"/>
          <w:szCs w:val="40"/>
          <w:highlight w:val="none"/>
          <w14:textFill>
            <w14:solidFill>
              <w14:schemeClr w14:val="tx1"/>
            </w14:solidFill>
          </w14:textFill>
        </w:rPr>
      </w:pPr>
      <w:r>
        <w:rPr>
          <w:rFonts w:hint="eastAsia" w:ascii="Times New Roman" w:hAnsi="Times New Roman" w:eastAsia="仿宋_GB2312" w:cs="仿宋_GB2312"/>
          <w:color w:val="000000" w:themeColor="text1"/>
          <w:sz w:val="32"/>
          <w:szCs w:val="40"/>
          <w:highlight w:val="none"/>
          <w14:textFill>
            <w14:solidFill>
              <w14:schemeClr w14:val="tx1"/>
            </w14:solidFill>
          </w14:textFill>
        </w:rPr>
        <w:t>但</w:t>
      </w:r>
      <w:r>
        <w:rPr>
          <w:rFonts w:hint="eastAsia" w:ascii="Times New Roman" w:hAnsi="Times New Roman" w:eastAsia="仿宋_GB2312" w:cs="仿宋_GB2312"/>
          <w:color w:val="000000" w:themeColor="text1"/>
          <w:sz w:val="32"/>
          <w:szCs w:val="40"/>
          <w:highlight w:val="none"/>
          <w:lang w:val="en-US" w:eastAsia="zh-CN"/>
          <w14:textFill>
            <w14:solidFill>
              <w14:schemeClr w14:val="tx1"/>
            </w14:solidFill>
          </w14:textFill>
        </w:rPr>
        <w:t>也存在预算编制不精准，基金管理效益不高，利息收益率未及预期，公众对制度改革必要性认可度不高，参保人员对机关事业单位养老保险政策知晓率不足，社会保险基金静态可支付月数较低，基金运行安全性不足等问题</w:t>
      </w:r>
      <w:r>
        <w:rPr>
          <w:rFonts w:hint="eastAsia" w:ascii="Times New Roman" w:hAnsi="Times New Roman" w:eastAsia="仿宋_GB2312" w:cs="仿宋_GB2312"/>
          <w:color w:val="000000" w:themeColor="text1"/>
          <w:sz w:val="32"/>
          <w:szCs w:val="40"/>
          <w:highlight w:val="none"/>
          <w14:textFill>
            <w14:solidFill>
              <w14:schemeClr w14:val="tx1"/>
            </w14:solidFill>
          </w14:textFill>
        </w:rPr>
        <w:t>。</w:t>
      </w:r>
    </w:p>
    <w:p w14:paraId="0392D2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themeColor="text1"/>
          <w:sz w:val="32"/>
          <w:szCs w:val="40"/>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40"/>
          <w:highlight w:val="none"/>
          <w14:textFill>
            <w14:solidFill>
              <w14:schemeClr w14:val="tx1"/>
            </w14:solidFill>
          </w14:textFill>
        </w:rPr>
        <w:t>综上所述，“2024年机关事业养老保险项目”绩效评价综合</w:t>
      </w:r>
      <w:r>
        <w:rPr>
          <w:rFonts w:hint="eastAsia" w:ascii="Times New Roman" w:hAnsi="Times New Roman" w:eastAsia="仿宋_GB2312" w:cs="仿宋_GB2312"/>
          <w:color w:val="000000" w:themeColor="text1"/>
          <w:sz w:val="32"/>
          <w:szCs w:val="40"/>
          <w:highlight w:val="none"/>
          <w:lang w:eastAsia="zh-CN"/>
          <w14:textFill>
            <w14:solidFill>
              <w14:schemeClr w14:val="tx1"/>
            </w14:solidFill>
          </w14:textFill>
        </w:rPr>
        <w:t>得分86.96分</w:t>
      </w:r>
      <w:r>
        <w:rPr>
          <w:rFonts w:hint="eastAsia" w:ascii="Times New Roman" w:hAnsi="Times New Roman" w:eastAsia="仿宋_GB2312" w:cs="仿宋_GB2312"/>
          <w:color w:val="000000" w:themeColor="text1"/>
          <w:sz w:val="32"/>
          <w:szCs w:val="40"/>
          <w:highlight w:val="none"/>
          <w14:textFill>
            <w14:solidFill>
              <w14:schemeClr w14:val="tx1"/>
            </w14:solidFill>
          </w14:textFill>
        </w:rPr>
        <w:t>，综合评价结果等级为“</w:t>
      </w:r>
      <w:r>
        <w:rPr>
          <w:rFonts w:hint="eastAsia" w:ascii="Times New Roman" w:hAnsi="Times New Roman" w:eastAsia="仿宋_GB2312" w:cs="仿宋_GB2312"/>
          <w:color w:val="000000" w:themeColor="text1"/>
          <w:sz w:val="32"/>
          <w:szCs w:val="40"/>
          <w:highlight w:val="none"/>
          <w:lang w:val="en-US" w:eastAsia="zh-CN"/>
          <w14:textFill>
            <w14:solidFill>
              <w14:schemeClr w14:val="tx1"/>
            </w14:solidFill>
          </w14:textFill>
        </w:rPr>
        <w:t>良</w:t>
      </w:r>
      <w:r>
        <w:rPr>
          <w:rFonts w:hint="eastAsia" w:ascii="Times New Roman" w:hAnsi="Times New Roman" w:eastAsia="仿宋_GB2312" w:cs="仿宋_GB2312"/>
          <w:color w:val="000000" w:themeColor="text1"/>
          <w:sz w:val="32"/>
          <w:szCs w:val="40"/>
          <w:highlight w:val="none"/>
          <w14:textFill>
            <w14:solidFill>
              <w14:schemeClr w14:val="tx1"/>
            </w14:solidFill>
          </w14:textFill>
        </w:rPr>
        <w:t>”。具体评分结果见</w:t>
      </w:r>
      <w:r>
        <w:rPr>
          <w:rFonts w:hint="eastAsia" w:ascii="Times New Roman" w:hAnsi="Times New Roman" w:eastAsia="仿宋_GB2312" w:cs="仿宋_GB2312"/>
          <w:color w:val="000000" w:themeColor="text1"/>
          <w:sz w:val="32"/>
          <w:szCs w:val="40"/>
          <w:highlight w:val="none"/>
          <w:lang w:val="en-US" w:eastAsia="zh-CN"/>
          <w14:textFill>
            <w14:solidFill>
              <w14:schemeClr w14:val="tx1"/>
            </w14:solidFill>
          </w14:textFill>
        </w:rPr>
        <w:t>下</w:t>
      </w:r>
      <w:r>
        <w:rPr>
          <w:rFonts w:hint="eastAsia" w:ascii="Times New Roman" w:hAnsi="Times New Roman" w:eastAsia="仿宋_GB2312" w:cs="仿宋_GB2312"/>
          <w:color w:val="000000" w:themeColor="text1"/>
          <w:sz w:val="32"/>
          <w:szCs w:val="40"/>
          <w:highlight w:val="none"/>
          <w14:textFill>
            <w14:solidFill>
              <w14:schemeClr w14:val="tx1"/>
            </w14:solidFill>
          </w14:textFill>
        </w:rPr>
        <w:t>表</w:t>
      </w:r>
      <w:r>
        <w:rPr>
          <w:rFonts w:hint="eastAsia" w:ascii="Times New Roman" w:hAnsi="Times New Roman" w:eastAsia="仿宋_GB2312" w:cs="仿宋_GB2312"/>
          <w:color w:val="000000" w:themeColor="text1"/>
          <w:sz w:val="32"/>
          <w:szCs w:val="40"/>
          <w:highlight w:val="none"/>
          <w:lang w:eastAsia="zh-CN"/>
          <w14:textFill>
            <w14:solidFill>
              <w14:schemeClr w14:val="tx1"/>
            </w14:solidFill>
          </w14:textFill>
        </w:rPr>
        <w:t>：</w:t>
      </w:r>
    </w:p>
    <w:p w14:paraId="35CA4FA7">
      <w:pPr>
        <w:keepNext w:val="0"/>
        <w:keepLines w:val="0"/>
        <w:pageBreakBefore w:val="0"/>
        <w:widowControl w:val="0"/>
        <w:kinsoku/>
        <w:wordWrap/>
        <w:overflowPunct/>
        <w:topLinePunct w:val="0"/>
        <w:autoSpaceDE/>
        <w:autoSpaceDN/>
        <w:bidi w:val="0"/>
        <w:snapToGrid/>
        <w:spacing w:line="578" w:lineRule="exact"/>
        <w:jc w:val="center"/>
        <w:textAlignment w:val="auto"/>
        <w:rPr>
          <w:rFonts w:hint="eastAsia" w:ascii="Times New Roman" w:hAnsi="Times New Roman" w:eastAsia="仿宋_GB2312" w:cs="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cs="仿宋_GB2312"/>
          <w:b/>
          <w:bCs/>
          <w:color w:val="000000" w:themeColor="text1"/>
          <w:sz w:val="28"/>
          <w:szCs w:val="28"/>
          <w:highlight w:val="none"/>
          <w14:textFill>
            <w14:solidFill>
              <w14:schemeClr w14:val="tx1"/>
            </w14:solidFill>
          </w14:textFill>
        </w:rPr>
        <w:t>2024年机关事业养老保险项目绩效评价指标评分表</w:t>
      </w:r>
    </w:p>
    <w:tbl>
      <w:tblPr>
        <w:tblStyle w:val="17"/>
        <w:tblW w:w="4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71"/>
        <w:gridCol w:w="2076"/>
        <w:gridCol w:w="2076"/>
        <w:gridCol w:w="2099"/>
      </w:tblGrid>
      <w:tr w14:paraId="2189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4" w:hRule="atLeast"/>
          <w:tblHeader/>
          <w:jc w:val="center"/>
        </w:trPr>
        <w:tc>
          <w:tcPr>
            <w:tcW w:w="1245" w:type="pct"/>
            <w:shd w:val="clear" w:color="auto" w:fill="auto"/>
            <w:tcMar>
              <w:top w:w="10" w:type="dxa"/>
              <w:left w:w="10" w:type="dxa"/>
              <w:bottom w:w="0" w:type="dxa"/>
              <w:right w:w="10" w:type="dxa"/>
            </w:tcMar>
            <w:vAlign w:val="center"/>
          </w:tcPr>
          <w:p w14:paraId="51F32003">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b/>
                <w:bCs/>
                <w:color w:val="000000" w:themeColor="text1"/>
                <w:highlight w:val="none"/>
                <w14:textFill>
                  <w14:solidFill>
                    <w14:schemeClr w14:val="tx1"/>
                  </w14:solidFill>
                </w14:textFill>
              </w:rPr>
            </w:pPr>
            <w:r>
              <w:rPr>
                <w:rFonts w:hint="eastAsia" w:ascii="Times New Roman" w:hAnsi="Times New Roman" w:eastAsia="仿宋" w:cs="仿宋"/>
                <w:b/>
                <w:bCs/>
                <w:color w:val="000000" w:themeColor="text1"/>
                <w:highlight w:val="none"/>
                <w14:textFill>
                  <w14:solidFill>
                    <w14:schemeClr w14:val="tx1"/>
                  </w14:solidFill>
                </w14:textFill>
              </w:rPr>
              <w:t>一级指标</w:t>
            </w:r>
          </w:p>
        </w:tc>
        <w:tc>
          <w:tcPr>
            <w:tcW w:w="1247" w:type="pct"/>
            <w:shd w:val="clear" w:color="auto" w:fill="auto"/>
            <w:tcMar>
              <w:top w:w="10" w:type="dxa"/>
              <w:left w:w="10" w:type="dxa"/>
              <w:bottom w:w="0" w:type="dxa"/>
              <w:right w:w="10" w:type="dxa"/>
            </w:tcMar>
            <w:vAlign w:val="center"/>
          </w:tcPr>
          <w:p w14:paraId="6ADE307B">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b/>
                <w:bCs/>
                <w:color w:val="000000" w:themeColor="text1"/>
                <w:highlight w:val="none"/>
                <w14:textFill>
                  <w14:solidFill>
                    <w14:schemeClr w14:val="tx1"/>
                  </w14:solidFill>
                </w14:textFill>
              </w:rPr>
            </w:pPr>
            <w:r>
              <w:rPr>
                <w:rFonts w:hint="eastAsia" w:ascii="Times New Roman" w:hAnsi="Times New Roman" w:eastAsia="仿宋" w:cs="仿宋"/>
                <w:b/>
                <w:bCs/>
                <w:color w:val="000000" w:themeColor="text1"/>
                <w:highlight w:val="none"/>
                <w14:textFill>
                  <w14:solidFill>
                    <w14:schemeClr w14:val="tx1"/>
                  </w14:solidFill>
                </w14:textFill>
              </w:rPr>
              <w:t>分值</w:t>
            </w:r>
          </w:p>
        </w:tc>
        <w:tc>
          <w:tcPr>
            <w:tcW w:w="1247" w:type="pct"/>
            <w:shd w:val="clear" w:color="auto" w:fill="auto"/>
            <w:tcMar>
              <w:top w:w="10" w:type="dxa"/>
              <w:left w:w="10" w:type="dxa"/>
              <w:bottom w:w="0" w:type="dxa"/>
              <w:right w:w="10" w:type="dxa"/>
            </w:tcMar>
            <w:vAlign w:val="center"/>
          </w:tcPr>
          <w:p w14:paraId="21082621">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b/>
                <w:bCs/>
                <w:color w:val="000000" w:themeColor="text1"/>
                <w:highlight w:val="none"/>
                <w14:textFill>
                  <w14:solidFill>
                    <w14:schemeClr w14:val="tx1"/>
                  </w14:solidFill>
                </w14:textFill>
              </w:rPr>
            </w:pPr>
            <w:r>
              <w:rPr>
                <w:rFonts w:hint="eastAsia" w:ascii="Times New Roman" w:hAnsi="Times New Roman" w:eastAsia="仿宋" w:cs="仿宋"/>
                <w:b/>
                <w:bCs/>
                <w:color w:val="000000" w:themeColor="text1"/>
                <w:highlight w:val="none"/>
                <w14:textFill>
                  <w14:solidFill>
                    <w14:schemeClr w14:val="tx1"/>
                  </w14:solidFill>
                </w14:textFill>
              </w:rPr>
              <w:t>得分</w:t>
            </w:r>
          </w:p>
        </w:tc>
        <w:tc>
          <w:tcPr>
            <w:tcW w:w="1259" w:type="pct"/>
            <w:shd w:val="clear" w:color="auto" w:fill="auto"/>
            <w:tcMar>
              <w:top w:w="10" w:type="dxa"/>
              <w:left w:w="10" w:type="dxa"/>
              <w:bottom w:w="0" w:type="dxa"/>
              <w:right w:w="10" w:type="dxa"/>
            </w:tcMar>
            <w:vAlign w:val="center"/>
          </w:tcPr>
          <w:p w14:paraId="70704D84">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b/>
                <w:bCs/>
                <w:color w:val="000000" w:themeColor="text1"/>
                <w:highlight w:val="none"/>
                <w14:textFill>
                  <w14:solidFill>
                    <w14:schemeClr w14:val="tx1"/>
                  </w14:solidFill>
                </w14:textFill>
              </w:rPr>
            </w:pPr>
            <w:r>
              <w:rPr>
                <w:rFonts w:hint="eastAsia" w:ascii="Times New Roman" w:hAnsi="Times New Roman" w:eastAsia="仿宋" w:cs="仿宋"/>
                <w:b/>
                <w:bCs/>
                <w:color w:val="000000" w:themeColor="text1"/>
                <w:highlight w:val="none"/>
                <w14:textFill>
                  <w14:solidFill>
                    <w14:schemeClr w14:val="tx1"/>
                  </w14:solidFill>
                </w14:textFill>
              </w:rPr>
              <w:t>得分率</w:t>
            </w:r>
          </w:p>
        </w:tc>
      </w:tr>
      <w:tr w14:paraId="6DEE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5" w:type="pct"/>
            <w:shd w:val="clear" w:color="auto" w:fill="auto"/>
            <w:tcMar>
              <w:top w:w="10" w:type="dxa"/>
              <w:left w:w="10" w:type="dxa"/>
              <w:bottom w:w="0" w:type="dxa"/>
              <w:right w:w="10" w:type="dxa"/>
            </w:tcMar>
            <w:vAlign w:val="center"/>
          </w:tcPr>
          <w:p w14:paraId="6F468668">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eastAsia="zh-Hans"/>
                <w14:textFill>
                  <w14:solidFill>
                    <w14:schemeClr w14:val="tx1"/>
                  </w14:solidFill>
                </w14:textFill>
              </w:rPr>
            </w:pPr>
            <w:r>
              <w:rPr>
                <w:rFonts w:hint="eastAsia" w:ascii="Times New Roman" w:hAnsi="Times New Roman" w:eastAsia="仿宋" w:cs="仿宋"/>
                <w:color w:val="000000" w:themeColor="text1"/>
                <w:highlight w:val="none"/>
                <w:lang w:eastAsia="zh-Hans"/>
                <w14:textFill>
                  <w14:solidFill>
                    <w14:schemeClr w14:val="tx1"/>
                  </w14:solidFill>
                </w14:textFill>
              </w:rPr>
              <w:t>决策</w:t>
            </w:r>
          </w:p>
        </w:tc>
        <w:tc>
          <w:tcPr>
            <w:tcW w:w="1247" w:type="pct"/>
            <w:shd w:val="clear" w:color="auto" w:fill="auto"/>
            <w:tcMar>
              <w:top w:w="10" w:type="dxa"/>
              <w:left w:w="10" w:type="dxa"/>
              <w:bottom w:w="0" w:type="dxa"/>
              <w:right w:w="10" w:type="dxa"/>
            </w:tcMar>
            <w:vAlign w:val="center"/>
          </w:tcPr>
          <w:p w14:paraId="3463FD2F">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15</w:t>
            </w:r>
          </w:p>
        </w:tc>
        <w:tc>
          <w:tcPr>
            <w:tcW w:w="1247" w:type="pct"/>
            <w:shd w:val="clear" w:color="auto" w:fill="auto"/>
            <w:tcMar>
              <w:top w:w="10" w:type="dxa"/>
              <w:left w:w="10" w:type="dxa"/>
              <w:bottom w:w="0" w:type="dxa"/>
              <w:right w:w="10" w:type="dxa"/>
            </w:tcMar>
            <w:vAlign w:val="center"/>
          </w:tcPr>
          <w:p w14:paraId="1D3D6946">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14.5</w:t>
            </w:r>
          </w:p>
        </w:tc>
        <w:tc>
          <w:tcPr>
            <w:tcW w:w="1259" w:type="pct"/>
            <w:shd w:val="clear" w:color="auto" w:fill="auto"/>
            <w:tcMar>
              <w:top w:w="10" w:type="dxa"/>
              <w:left w:w="10" w:type="dxa"/>
              <w:bottom w:w="0" w:type="dxa"/>
              <w:right w:w="10" w:type="dxa"/>
            </w:tcMar>
            <w:vAlign w:val="center"/>
          </w:tcPr>
          <w:p w14:paraId="4F947AFD">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96.67%</w:t>
            </w:r>
          </w:p>
        </w:tc>
      </w:tr>
      <w:tr w14:paraId="56C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5" w:type="pct"/>
            <w:shd w:val="clear" w:color="auto" w:fill="auto"/>
            <w:tcMar>
              <w:top w:w="10" w:type="dxa"/>
              <w:left w:w="10" w:type="dxa"/>
              <w:bottom w:w="0" w:type="dxa"/>
              <w:right w:w="10" w:type="dxa"/>
            </w:tcMar>
            <w:vAlign w:val="center"/>
          </w:tcPr>
          <w:p w14:paraId="765EAB88">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eastAsia="zh-Hans"/>
                <w14:textFill>
                  <w14:solidFill>
                    <w14:schemeClr w14:val="tx1"/>
                  </w14:solidFill>
                </w14:textFill>
              </w:rPr>
            </w:pPr>
            <w:r>
              <w:rPr>
                <w:rFonts w:hint="eastAsia" w:ascii="Times New Roman" w:hAnsi="Times New Roman" w:eastAsia="仿宋" w:cs="仿宋"/>
                <w:color w:val="000000" w:themeColor="text1"/>
                <w:highlight w:val="none"/>
                <w:lang w:eastAsia="zh-Hans"/>
                <w14:textFill>
                  <w14:solidFill>
                    <w14:schemeClr w14:val="tx1"/>
                  </w14:solidFill>
                </w14:textFill>
              </w:rPr>
              <w:t>过程</w:t>
            </w:r>
          </w:p>
        </w:tc>
        <w:tc>
          <w:tcPr>
            <w:tcW w:w="1247" w:type="pct"/>
            <w:shd w:val="clear" w:color="auto" w:fill="auto"/>
            <w:tcMar>
              <w:top w:w="10" w:type="dxa"/>
              <w:left w:w="10" w:type="dxa"/>
              <w:bottom w:w="0" w:type="dxa"/>
              <w:right w:w="10" w:type="dxa"/>
            </w:tcMar>
            <w:vAlign w:val="center"/>
          </w:tcPr>
          <w:p w14:paraId="460B3676">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25</w:t>
            </w:r>
          </w:p>
        </w:tc>
        <w:tc>
          <w:tcPr>
            <w:tcW w:w="1247" w:type="pct"/>
            <w:shd w:val="clear" w:color="auto" w:fill="auto"/>
            <w:tcMar>
              <w:top w:w="10" w:type="dxa"/>
              <w:left w:w="10" w:type="dxa"/>
              <w:bottom w:w="0" w:type="dxa"/>
              <w:right w:w="10" w:type="dxa"/>
            </w:tcMar>
            <w:vAlign w:val="center"/>
          </w:tcPr>
          <w:p w14:paraId="05929A07">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24.34</w:t>
            </w:r>
          </w:p>
        </w:tc>
        <w:tc>
          <w:tcPr>
            <w:tcW w:w="1259" w:type="pct"/>
            <w:shd w:val="clear" w:color="auto" w:fill="auto"/>
            <w:tcMar>
              <w:top w:w="10" w:type="dxa"/>
              <w:left w:w="10" w:type="dxa"/>
              <w:bottom w:w="0" w:type="dxa"/>
              <w:right w:w="10" w:type="dxa"/>
            </w:tcMar>
            <w:vAlign w:val="center"/>
          </w:tcPr>
          <w:p w14:paraId="318A3A0F">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97.36%</w:t>
            </w:r>
          </w:p>
        </w:tc>
      </w:tr>
      <w:tr w14:paraId="3261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5" w:type="pct"/>
            <w:shd w:val="clear" w:color="auto" w:fill="auto"/>
            <w:tcMar>
              <w:top w:w="10" w:type="dxa"/>
              <w:left w:w="10" w:type="dxa"/>
              <w:bottom w:w="0" w:type="dxa"/>
              <w:right w:w="10" w:type="dxa"/>
            </w:tcMar>
            <w:vAlign w:val="center"/>
          </w:tcPr>
          <w:p w14:paraId="6F2D7DC1">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eastAsia="zh-Hans"/>
                <w14:textFill>
                  <w14:solidFill>
                    <w14:schemeClr w14:val="tx1"/>
                  </w14:solidFill>
                </w14:textFill>
              </w:rPr>
            </w:pPr>
            <w:r>
              <w:rPr>
                <w:rFonts w:hint="eastAsia" w:ascii="Times New Roman" w:hAnsi="Times New Roman" w:eastAsia="仿宋" w:cs="仿宋"/>
                <w:color w:val="000000" w:themeColor="text1"/>
                <w:highlight w:val="none"/>
                <w:lang w:eastAsia="zh-Hans"/>
                <w14:textFill>
                  <w14:solidFill>
                    <w14:schemeClr w14:val="tx1"/>
                  </w14:solidFill>
                </w14:textFill>
              </w:rPr>
              <w:t>产出</w:t>
            </w:r>
          </w:p>
        </w:tc>
        <w:tc>
          <w:tcPr>
            <w:tcW w:w="1247" w:type="pct"/>
            <w:shd w:val="clear" w:color="auto" w:fill="auto"/>
            <w:tcMar>
              <w:top w:w="10" w:type="dxa"/>
              <w:left w:w="10" w:type="dxa"/>
              <w:bottom w:w="0" w:type="dxa"/>
              <w:right w:w="10" w:type="dxa"/>
            </w:tcMar>
            <w:vAlign w:val="center"/>
          </w:tcPr>
          <w:p w14:paraId="40840876">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28</w:t>
            </w:r>
          </w:p>
        </w:tc>
        <w:tc>
          <w:tcPr>
            <w:tcW w:w="1247" w:type="pct"/>
            <w:shd w:val="clear" w:color="auto" w:fill="auto"/>
            <w:tcMar>
              <w:top w:w="10" w:type="dxa"/>
              <w:left w:w="10" w:type="dxa"/>
              <w:bottom w:w="0" w:type="dxa"/>
              <w:right w:w="10" w:type="dxa"/>
            </w:tcMar>
            <w:vAlign w:val="center"/>
          </w:tcPr>
          <w:p w14:paraId="2CA61B7E">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24.84</w:t>
            </w:r>
          </w:p>
        </w:tc>
        <w:tc>
          <w:tcPr>
            <w:tcW w:w="1259" w:type="pct"/>
            <w:shd w:val="clear" w:color="auto" w:fill="auto"/>
            <w:tcMar>
              <w:top w:w="10" w:type="dxa"/>
              <w:left w:w="10" w:type="dxa"/>
              <w:bottom w:w="0" w:type="dxa"/>
              <w:right w:w="10" w:type="dxa"/>
            </w:tcMar>
            <w:vAlign w:val="center"/>
          </w:tcPr>
          <w:p w14:paraId="5BF705C9">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88.71%</w:t>
            </w:r>
          </w:p>
        </w:tc>
      </w:tr>
      <w:tr w14:paraId="65E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5" w:type="pct"/>
            <w:shd w:val="clear" w:color="auto" w:fill="auto"/>
            <w:tcMar>
              <w:top w:w="10" w:type="dxa"/>
              <w:left w:w="10" w:type="dxa"/>
              <w:bottom w:w="0" w:type="dxa"/>
              <w:right w:w="10" w:type="dxa"/>
            </w:tcMar>
            <w:vAlign w:val="center"/>
          </w:tcPr>
          <w:p w14:paraId="57DD0EA6">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eastAsia="zh-Hans"/>
                <w14:textFill>
                  <w14:solidFill>
                    <w14:schemeClr w14:val="tx1"/>
                  </w14:solidFill>
                </w14:textFill>
              </w:rPr>
            </w:pPr>
            <w:r>
              <w:rPr>
                <w:rFonts w:hint="eastAsia" w:ascii="Times New Roman" w:hAnsi="Times New Roman" w:eastAsia="仿宋" w:cs="仿宋"/>
                <w:color w:val="000000" w:themeColor="text1"/>
                <w:highlight w:val="none"/>
                <w:lang w:eastAsia="zh-Hans"/>
                <w14:textFill>
                  <w14:solidFill>
                    <w14:schemeClr w14:val="tx1"/>
                  </w14:solidFill>
                </w14:textFill>
              </w:rPr>
              <w:t>效益</w:t>
            </w:r>
          </w:p>
        </w:tc>
        <w:tc>
          <w:tcPr>
            <w:tcW w:w="1247" w:type="pct"/>
            <w:shd w:val="clear" w:color="auto" w:fill="auto"/>
            <w:tcMar>
              <w:top w:w="10" w:type="dxa"/>
              <w:left w:w="10" w:type="dxa"/>
              <w:bottom w:w="0" w:type="dxa"/>
              <w:right w:w="10" w:type="dxa"/>
            </w:tcMar>
            <w:vAlign w:val="center"/>
          </w:tcPr>
          <w:p w14:paraId="0FD4FA12">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32</w:t>
            </w:r>
          </w:p>
        </w:tc>
        <w:tc>
          <w:tcPr>
            <w:tcW w:w="1247" w:type="pct"/>
            <w:shd w:val="clear" w:color="auto" w:fill="auto"/>
            <w:tcMar>
              <w:top w:w="10" w:type="dxa"/>
              <w:left w:w="10" w:type="dxa"/>
              <w:bottom w:w="0" w:type="dxa"/>
              <w:right w:w="10" w:type="dxa"/>
            </w:tcMar>
            <w:vAlign w:val="center"/>
          </w:tcPr>
          <w:p w14:paraId="305CD03D">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23.28</w:t>
            </w:r>
          </w:p>
        </w:tc>
        <w:tc>
          <w:tcPr>
            <w:tcW w:w="1259" w:type="pct"/>
            <w:shd w:val="clear" w:color="auto" w:fill="auto"/>
            <w:tcMar>
              <w:top w:w="10" w:type="dxa"/>
              <w:left w:w="10" w:type="dxa"/>
              <w:bottom w:w="0" w:type="dxa"/>
              <w:right w:w="10" w:type="dxa"/>
            </w:tcMar>
            <w:vAlign w:val="center"/>
          </w:tcPr>
          <w:p w14:paraId="1B4F30CF">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72.75%</w:t>
            </w:r>
          </w:p>
        </w:tc>
      </w:tr>
      <w:tr w14:paraId="723B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45" w:type="pct"/>
            <w:shd w:val="clear" w:color="auto" w:fill="auto"/>
            <w:tcMar>
              <w:top w:w="10" w:type="dxa"/>
              <w:left w:w="10" w:type="dxa"/>
              <w:bottom w:w="0" w:type="dxa"/>
              <w:right w:w="10" w:type="dxa"/>
            </w:tcMar>
            <w:vAlign w:val="center"/>
          </w:tcPr>
          <w:p w14:paraId="70C7D391">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eastAsia="zh-Hans"/>
                <w14:textFill>
                  <w14:solidFill>
                    <w14:schemeClr w14:val="tx1"/>
                  </w14:solidFill>
                </w14:textFill>
              </w:rPr>
            </w:pPr>
            <w:r>
              <w:rPr>
                <w:rFonts w:hint="eastAsia" w:ascii="Times New Roman" w:hAnsi="Times New Roman" w:eastAsia="仿宋" w:cs="仿宋"/>
                <w:color w:val="000000" w:themeColor="text1"/>
                <w:highlight w:val="none"/>
                <w:lang w:eastAsia="zh-Hans"/>
                <w14:textFill>
                  <w14:solidFill>
                    <w14:schemeClr w14:val="tx1"/>
                  </w14:solidFill>
                </w14:textFill>
              </w:rPr>
              <w:t>合计</w:t>
            </w:r>
          </w:p>
        </w:tc>
        <w:tc>
          <w:tcPr>
            <w:tcW w:w="1247" w:type="pct"/>
            <w:shd w:val="clear" w:color="auto" w:fill="auto"/>
            <w:tcMar>
              <w:top w:w="10" w:type="dxa"/>
              <w:left w:w="10" w:type="dxa"/>
              <w:bottom w:w="0" w:type="dxa"/>
              <w:right w:w="10" w:type="dxa"/>
            </w:tcMar>
            <w:vAlign w:val="center"/>
          </w:tcPr>
          <w:p w14:paraId="29AF7E4F">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100</w:t>
            </w:r>
          </w:p>
        </w:tc>
        <w:tc>
          <w:tcPr>
            <w:tcW w:w="1247" w:type="pct"/>
            <w:shd w:val="clear" w:color="auto" w:fill="auto"/>
            <w:tcMar>
              <w:top w:w="10" w:type="dxa"/>
              <w:left w:w="10" w:type="dxa"/>
              <w:bottom w:w="0" w:type="dxa"/>
              <w:right w:w="10" w:type="dxa"/>
            </w:tcMar>
            <w:vAlign w:val="center"/>
          </w:tcPr>
          <w:p w14:paraId="5D21A390">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86.96</w:t>
            </w:r>
          </w:p>
        </w:tc>
        <w:tc>
          <w:tcPr>
            <w:tcW w:w="1259" w:type="pct"/>
            <w:shd w:val="clear" w:color="auto" w:fill="auto"/>
            <w:tcMar>
              <w:top w:w="10" w:type="dxa"/>
              <w:left w:w="10" w:type="dxa"/>
              <w:bottom w:w="0" w:type="dxa"/>
              <w:right w:w="10" w:type="dxa"/>
            </w:tcMar>
            <w:vAlign w:val="center"/>
          </w:tcPr>
          <w:p w14:paraId="233B2BA2">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color w:val="000000" w:themeColor="text1"/>
                <w:highlight w:val="none"/>
                <w:lang w:val="en-US" w:eastAsia="zh-CN"/>
                <w14:textFill>
                  <w14:solidFill>
                    <w14:schemeClr w14:val="tx1"/>
                  </w14:solidFill>
                </w14:textFill>
              </w:rPr>
              <w:t>86.96%</w:t>
            </w:r>
          </w:p>
        </w:tc>
      </w:tr>
      <w:tr w14:paraId="685C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4"/>
            <w:shd w:val="clear" w:color="auto" w:fill="auto"/>
            <w:tcMar>
              <w:top w:w="10" w:type="dxa"/>
              <w:left w:w="10" w:type="dxa"/>
              <w:bottom w:w="0" w:type="dxa"/>
              <w:right w:w="10" w:type="dxa"/>
            </w:tcMar>
            <w:vAlign w:val="center"/>
          </w:tcPr>
          <w:p w14:paraId="67A82C72">
            <w:pPr>
              <w:pStyle w:val="6"/>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eastAsia" w:ascii="Times New Roman" w:hAnsi="Times New Roman" w:eastAsia="仿宋" w:cs="仿宋"/>
                <w:color w:val="000000" w:themeColor="text1"/>
                <w:highlight w:val="none"/>
                <w:lang w:val="en-US" w:eastAsia="zh-CN"/>
                <w14:textFill>
                  <w14:solidFill>
                    <w14:schemeClr w14:val="tx1"/>
                  </w14:solidFill>
                </w14:textFill>
              </w:rPr>
            </w:pPr>
            <w:r>
              <w:rPr>
                <w:rFonts w:hint="eastAsia" w:ascii="Times New Roman" w:hAnsi="Times New Roman" w:eastAsia="仿宋" w:cs="仿宋"/>
                <w:b/>
                <w:bCs/>
                <w:color w:val="000000" w:themeColor="text1"/>
                <w:highlight w:val="none"/>
                <w14:textFill>
                  <w14:solidFill>
                    <w14:schemeClr w14:val="tx1"/>
                  </w14:solidFill>
                </w14:textFill>
              </w:rPr>
              <w:t>绩效评价得分：</w:t>
            </w:r>
            <w:r>
              <w:rPr>
                <w:rFonts w:hint="eastAsia" w:ascii="Times New Roman" w:hAnsi="Times New Roman" w:eastAsia="仿宋" w:cs="仿宋"/>
                <w:b/>
                <w:bCs/>
                <w:color w:val="000000" w:themeColor="text1"/>
                <w:highlight w:val="none"/>
                <w:lang w:val="en-US" w:eastAsia="zh-CN"/>
                <w14:textFill>
                  <w14:solidFill>
                    <w14:schemeClr w14:val="tx1"/>
                  </w14:solidFill>
                </w14:textFill>
              </w:rPr>
              <w:t xml:space="preserve">86.96分   </w:t>
            </w:r>
            <w:r>
              <w:rPr>
                <w:rFonts w:hint="eastAsia" w:ascii="Times New Roman" w:hAnsi="Times New Roman" w:eastAsia="仿宋" w:cs="仿宋"/>
                <w:b/>
                <w:bCs/>
                <w:color w:val="000000" w:themeColor="text1"/>
                <w:highlight w:val="none"/>
                <w14:textFill>
                  <w14:solidFill>
                    <w14:schemeClr w14:val="tx1"/>
                  </w14:solidFill>
                </w14:textFill>
              </w:rPr>
              <w:t>综合评价结果等级：</w:t>
            </w:r>
            <w:r>
              <w:rPr>
                <w:rFonts w:hint="eastAsia" w:ascii="Times New Roman" w:hAnsi="Times New Roman" w:eastAsia="仿宋" w:cs="仿宋"/>
                <w:b/>
                <w:bCs/>
                <w:color w:val="000000" w:themeColor="text1"/>
                <w:highlight w:val="none"/>
                <w:lang w:val="en-US" w:eastAsia="zh-CN"/>
                <w14:textFill>
                  <w14:solidFill>
                    <w14:schemeClr w14:val="tx1"/>
                  </w14:solidFill>
                </w14:textFill>
              </w:rPr>
              <w:t>良</w:t>
            </w:r>
          </w:p>
        </w:tc>
      </w:tr>
    </w:tbl>
    <w:p w14:paraId="5CBC8C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000000" w:themeColor="text1"/>
          <w:sz w:val="32"/>
          <w:szCs w:val="40"/>
          <w:highlight w:val="none"/>
          <w14:textFill>
            <w14:solidFill>
              <w14:schemeClr w14:val="tx1"/>
            </w14:solidFill>
          </w14:textFill>
        </w:rPr>
      </w:pPr>
      <w:bookmarkStart w:id="43" w:name="_Toc12185"/>
      <w:r>
        <w:rPr>
          <w:rFonts w:hint="eastAsia" w:ascii="黑体" w:hAnsi="黑体" w:eastAsia="黑体" w:cs="黑体"/>
          <w:color w:val="000000" w:themeColor="text1"/>
          <w:sz w:val="32"/>
          <w:szCs w:val="40"/>
          <w:highlight w:val="none"/>
          <w:lang w:val="en-US" w:eastAsia="zh-CN"/>
          <w14:textFill>
            <w14:solidFill>
              <w14:schemeClr w14:val="tx1"/>
            </w14:solidFill>
          </w14:textFill>
        </w:rPr>
        <w:t>三</w:t>
      </w:r>
      <w:r>
        <w:rPr>
          <w:rFonts w:hint="eastAsia" w:ascii="黑体" w:hAnsi="黑体" w:eastAsia="黑体" w:cs="黑体"/>
          <w:color w:val="000000" w:themeColor="text1"/>
          <w:sz w:val="32"/>
          <w:szCs w:val="40"/>
          <w:highlight w:val="none"/>
          <w14:textFill>
            <w14:solidFill>
              <w14:schemeClr w14:val="tx1"/>
            </w14:solidFill>
          </w14:textFill>
        </w:rPr>
        <w:t>、主要经验及做法</w:t>
      </w:r>
      <w:bookmarkEnd w:id="43"/>
    </w:p>
    <w:p w14:paraId="293619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themeColor="text1"/>
          <w:sz w:val="32"/>
          <w:szCs w:val="40"/>
          <w:highlight w:val="none"/>
          <w:lang w:eastAsia="zh-CN"/>
          <w14:textFill>
            <w14:solidFill>
              <w14:schemeClr w14:val="tx1"/>
            </w14:solidFill>
          </w14:textFill>
        </w:rPr>
      </w:pPr>
      <w:bookmarkStart w:id="44" w:name="_Toc24828"/>
      <w:r>
        <w:rPr>
          <w:rFonts w:hint="eastAsia" w:ascii="楷体_GB2312" w:hAnsi="楷体_GB2312" w:eastAsia="楷体_GB2312" w:cs="楷体_GB2312"/>
          <w:color w:val="000000" w:themeColor="text1"/>
          <w:sz w:val="32"/>
          <w:szCs w:val="40"/>
          <w:highlight w:val="none"/>
          <w:lang w:val="en-US" w:eastAsia="zh-CN"/>
          <w14:textFill>
            <w14:solidFill>
              <w14:schemeClr w14:val="tx1"/>
            </w14:solidFill>
          </w14:textFill>
        </w:rPr>
        <w:t>（一）养老保险改革制度建设是项目成功的重要保障</w:t>
      </w:r>
      <w:bookmarkEnd w:id="44"/>
    </w:p>
    <w:p w14:paraId="57E6A9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仿宋_GB2312"/>
          <w:color w:val="000000" w:themeColor="text1"/>
          <w:sz w:val="32"/>
          <w:szCs w:val="40"/>
          <w:highlight w:val="none"/>
          <w:lang w:eastAsia="zh-CN"/>
          <w14:textFill>
            <w14:solidFill>
              <w14:schemeClr w14:val="tx1"/>
            </w14:solidFill>
          </w14:textFill>
        </w:rPr>
        <w:t>党中央和国务院通过出台相关政策文件，明确了机关事业单位养老保险制度改革的方向和目标，为地方实施提供了政策依据。财政补贴政策的落实，有效缓解了地方财政压力，保障了养老保险基金的稳定运行。国家还注重加强养老保险基</w:t>
      </w:r>
      <w:r>
        <w:rPr>
          <w:rFonts w:hint="eastAsia" w:ascii="Times New Roman" w:hAnsi="Times New Roman" w:eastAsia="仿宋_GB2312" w:cs="Times New Roman"/>
          <w:b w:val="0"/>
          <w:bCs w:val="0"/>
          <w:sz w:val="32"/>
          <w:szCs w:val="32"/>
          <w:highlight w:val="none"/>
          <w:lang w:eastAsia="zh-CN"/>
        </w:rPr>
        <w:t>金的管理和监督，确保基金的安全和保值增值，为项目的可持续发展奠定了基础。</w:t>
      </w:r>
    </w:p>
    <w:p w14:paraId="209506C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45" w:name="_Toc30907"/>
      <w:r>
        <w:rPr>
          <w:rFonts w:hint="eastAsia" w:ascii="楷体_GB2312" w:hAnsi="楷体_GB2312" w:eastAsia="楷体_GB2312" w:cs="楷体_GB2312"/>
          <w:b w:val="0"/>
          <w:bCs w:val="0"/>
          <w:sz w:val="32"/>
          <w:szCs w:val="32"/>
          <w:highlight w:val="none"/>
          <w:lang w:val="en-US" w:eastAsia="zh-CN"/>
        </w:rPr>
        <w:t>（二）县级政府采取积极有效的措施推进制度改革</w:t>
      </w:r>
      <w:bookmarkEnd w:id="45"/>
    </w:p>
    <w:p w14:paraId="385EEBEE">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西乡县</w:t>
      </w:r>
      <w:r>
        <w:rPr>
          <w:rFonts w:hint="eastAsia" w:ascii="Times New Roman" w:hAnsi="Times New Roman" w:eastAsia="仿宋_GB2312" w:cs="Times New Roman"/>
          <w:b w:val="0"/>
          <w:bCs w:val="0"/>
          <w:sz w:val="32"/>
          <w:szCs w:val="32"/>
          <w:highlight w:val="none"/>
          <w:lang w:val="en-US" w:eastAsia="zh-CN"/>
        </w:rPr>
        <w:t>当地政府</w:t>
      </w:r>
      <w:r>
        <w:rPr>
          <w:rFonts w:hint="eastAsia" w:ascii="Times New Roman" w:hAnsi="Times New Roman" w:eastAsia="仿宋_GB2312" w:cs="Times New Roman"/>
          <w:b w:val="0"/>
          <w:bCs w:val="0"/>
          <w:sz w:val="32"/>
          <w:szCs w:val="32"/>
          <w:highlight w:val="none"/>
          <w:lang w:eastAsia="zh-CN"/>
        </w:rPr>
        <w:t>采取了积极有效的措施来推进养老保险制度改革，加强组织领导，建立健全工作机制，确保改革任务的顺利实施。</w:t>
      </w:r>
      <w:r>
        <w:rPr>
          <w:rFonts w:hint="eastAsia" w:ascii="Times New Roman" w:hAnsi="Times New Roman" w:eastAsia="仿宋_GB2312" w:cs="Times New Roman"/>
          <w:b w:val="0"/>
          <w:bCs w:val="0"/>
          <w:sz w:val="32"/>
          <w:szCs w:val="32"/>
          <w:highlight w:val="none"/>
          <w:lang w:val="en-US" w:eastAsia="zh-CN"/>
        </w:rPr>
        <w:t>县级</w:t>
      </w:r>
      <w:r>
        <w:rPr>
          <w:rFonts w:hint="eastAsia" w:ascii="Times New Roman" w:hAnsi="Times New Roman" w:eastAsia="仿宋_GB2312" w:cs="Times New Roman"/>
          <w:b w:val="0"/>
          <w:bCs w:val="0"/>
          <w:sz w:val="32"/>
          <w:szCs w:val="32"/>
          <w:highlight w:val="none"/>
          <w:lang w:eastAsia="zh-CN"/>
        </w:rPr>
        <w:t>财政加大对养老保险基金的投入，确保了养老金的按时足额发放。地方政府还注重加强宣传教育，提高广大干部职工对养老保险制度改革的认识和支持力度，为项目的顺利推进营造了良好的社会氛围。</w:t>
      </w:r>
    </w:p>
    <w:p w14:paraId="7B0246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46" w:name="_Toc26613"/>
      <w:r>
        <w:rPr>
          <w:rFonts w:hint="eastAsia" w:ascii="楷体_GB2312" w:hAnsi="楷体_GB2312" w:eastAsia="楷体_GB2312" w:cs="楷体_GB2312"/>
          <w:b w:val="0"/>
          <w:bCs w:val="0"/>
          <w:sz w:val="32"/>
          <w:szCs w:val="32"/>
          <w:highlight w:val="none"/>
          <w:lang w:val="en-US" w:eastAsia="zh-CN"/>
        </w:rPr>
        <w:t>（三）参保人员的积极参与和支持</w:t>
      </w:r>
      <w:bookmarkEnd w:id="46"/>
    </w:p>
    <w:p w14:paraId="6F4360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西乡县</w:t>
      </w:r>
      <w:r>
        <w:rPr>
          <w:rFonts w:hint="eastAsia" w:ascii="Times New Roman" w:hAnsi="Times New Roman" w:eastAsia="仿宋_GB2312" w:cs="Times New Roman"/>
          <w:b w:val="0"/>
          <w:bCs w:val="0"/>
          <w:sz w:val="32"/>
          <w:szCs w:val="32"/>
          <w:highlight w:val="none"/>
          <w:lang w:val="en-US" w:eastAsia="zh-CN"/>
        </w:rPr>
        <w:t>政府</w:t>
      </w:r>
      <w:r>
        <w:rPr>
          <w:rFonts w:hint="eastAsia" w:ascii="Times New Roman" w:hAnsi="Times New Roman" w:eastAsia="仿宋_GB2312" w:cs="Times New Roman"/>
          <w:b w:val="0"/>
          <w:bCs w:val="0"/>
          <w:sz w:val="32"/>
          <w:szCs w:val="32"/>
          <w:highlight w:val="none"/>
          <w:lang w:eastAsia="zh-CN"/>
        </w:rPr>
        <w:t>通过加强宣传教育，提高了干部职工对养老保险制度的认知度和认同感，增强了他们的参保意识。政府注重保护干部职工的合法权益，确保他们在退休后能够享受到应有的养老待遇。广大干部职工也积极参与养老保险制度的监督和管理，为项目的顺利实施贡献了自己的力量。</w:t>
      </w:r>
    </w:p>
    <w:p w14:paraId="5770F1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Times New Roman" w:hAnsi="Times New Roman" w:eastAsia="仿宋_GB2312" w:cs="Times New Roman"/>
          <w:sz w:val="32"/>
          <w:szCs w:val="32"/>
          <w:highlight w:val="none"/>
        </w:rPr>
      </w:pPr>
      <w:bookmarkStart w:id="47" w:name="_Toc2134"/>
      <w:r>
        <w:rPr>
          <w:rFonts w:hint="eastAsia" w:ascii="Times New Roman" w:hAnsi="Times New Roman" w:eastAsia="黑体" w:cs="Times New Roman"/>
          <w:sz w:val="32"/>
          <w:szCs w:val="32"/>
          <w:highlight w:val="none"/>
          <w:lang w:val="en-US" w:eastAsia="zh-CN"/>
        </w:rPr>
        <w:t>四</w:t>
      </w:r>
      <w:r>
        <w:rPr>
          <w:rFonts w:ascii="Times New Roman" w:hAnsi="Times New Roman" w:eastAsia="黑体" w:cs="Times New Roman"/>
          <w:sz w:val="32"/>
          <w:szCs w:val="32"/>
          <w:highlight w:val="none"/>
        </w:rPr>
        <w:t>、存在的问题及原因分析</w:t>
      </w:r>
      <w:bookmarkEnd w:id="47"/>
    </w:p>
    <w:p w14:paraId="07A56D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48" w:name="_Toc26805"/>
      <w:r>
        <w:rPr>
          <w:rFonts w:hint="eastAsia" w:ascii="楷体_GB2312" w:hAnsi="楷体_GB2312" w:eastAsia="楷体_GB2312" w:cs="楷体_GB2312"/>
          <w:b w:val="0"/>
          <w:bCs w:val="0"/>
          <w:sz w:val="32"/>
          <w:szCs w:val="32"/>
          <w:highlight w:val="none"/>
          <w:lang w:val="en-US" w:eastAsia="zh-CN"/>
        </w:rPr>
        <w:t>（一）预算编制不够精准</w:t>
      </w:r>
      <w:bookmarkEnd w:id="48"/>
    </w:p>
    <w:p w14:paraId="6FC0AE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项目单位在编制预算过程中，</w:t>
      </w:r>
      <w:r>
        <w:rPr>
          <w:rFonts w:hint="eastAsia" w:ascii="Times New Roman" w:hAnsi="Times New Roman" w:eastAsia="仿宋_GB2312" w:cs="Times New Roman"/>
          <w:b w:val="0"/>
          <w:bCs w:val="0"/>
          <w:sz w:val="32"/>
          <w:szCs w:val="32"/>
          <w:highlight w:val="none"/>
          <w:lang w:eastAsia="zh-CN"/>
        </w:rPr>
        <w:t>未</w:t>
      </w:r>
      <w:r>
        <w:rPr>
          <w:rFonts w:hint="eastAsia" w:ascii="Times New Roman" w:hAnsi="Times New Roman" w:eastAsia="仿宋_GB2312" w:cs="Times New Roman"/>
          <w:b w:val="0"/>
          <w:bCs w:val="0"/>
          <w:sz w:val="32"/>
          <w:szCs w:val="32"/>
          <w:highlight w:val="none"/>
          <w:lang w:val="en-US" w:eastAsia="zh-CN"/>
        </w:rPr>
        <w:t>能</w:t>
      </w:r>
      <w:r>
        <w:rPr>
          <w:rFonts w:hint="eastAsia" w:ascii="Times New Roman" w:hAnsi="Times New Roman" w:eastAsia="仿宋_GB2312" w:cs="Times New Roman"/>
          <w:b w:val="0"/>
          <w:bCs w:val="0"/>
          <w:sz w:val="32"/>
          <w:szCs w:val="32"/>
          <w:highlight w:val="none"/>
          <w:lang w:eastAsia="zh-CN"/>
        </w:rPr>
        <w:t>根据人口变动趋势合理预测</w:t>
      </w:r>
      <w:r>
        <w:rPr>
          <w:rFonts w:hint="eastAsia" w:ascii="Times New Roman" w:hAnsi="Times New Roman" w:eastAsia="仿宋_GB2312" w:cs="Times New Roman"/>
          <w:b w:val="0"/>
          <w:bCs w:val="0"/>
          <w:sz w:val="32"/>
          <w:szCs w:val="32"/>
          <w:highlight w:val="none"/>
          <w:lang w:val="en-US" w:eastAsia="zh-CN"/>
        </w:rPr>
        <w:t>退休人数</w:t>
      </w:r>
      <w:r>
        <w:rPr>
          <w:rFonts w:hint="eastAsia" w:ascii="Times New Roman" w:hAnsi="Times New Roman" w:eastAsia="仿宋_GB2312" w:cs="Times New Roman"/>
          <w:b w:val="0"/>
          <w:bCs w:val="0"/>
          <w:sz w:val="32"/>
          <w:szCs w:val="32"/>
          <w:highlight w:val="none"/>
          <w:lang w:eastAsia="zh-CN"/>
        </w:rPr>
        <w:t>，导致202</w:t>
      </w:r>
      <w:r>
        <w:rPr>
          <w:rFonts w:hint="eastAsia" w:ascii="Times New Roman" w:hAnsi="Times New Roman" w:eastAsia="仿宋_GB2312"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lang w:eastAsia="zh-CN"/>
        </w:rPr>
        <w:t>年度预算数据与实际数据存在一定差异</w:t>
      </w:r>
      <w:bookmarkStart w:id="57" w:name="_GoBack"/>
      <w:bookmarkEnd w:id="57"/>
      <w:r>
        <w:rPr>
          <w:rFonts w:hint="eastAsia" w:ascii="Times New Roman" w:hAnsi="Times New Roman" w:eastAsia="仿宋_GB2312" w:cs="Times New Roman"/>
          <w:b w:val="0"/>
          <w:bCs w:val="0"/>
          <w:sz w:val="32"/>
          <w:szCs w:val="32"/>
          <w:highlight w:val="none"/>
          <w:lang w:eastAsia="zh-CN"/>
        </w:rPr>
        <w:t>。</w:t>
      </w:r>
    </w:p>
    <w:p w14:paraId="3C028A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49" w:name="_Toc8193"/>
      <w:r>
        <w:rPr>
          <w:rFonts w:hint="eastAsia" w:ascii="楷体_GB2312" w:hAnsi="楷体_GB2312" w:eastAsia="楷体_GB2312" w:cs="楷体_GB2312"/>
          <w:b w:val="0"/>
          <w:bCs w:val="0"/>
          <w:sz w:val="32"/>
          <w:szCs w:val="32"/>
          <w:highlight w:val="none"/>
          <w:lang w:val="en-US" w:eastAsia="zh-CN"/>
        </w:rPr>
        <w:t>（二）基金管理效益不高，利息收益率未及预期</w:t>
      </w:r>
      <w:bookmarkEnd w:id="49"/>
    </w:p>
    <w:p w14:paraId="4F1FAD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2024年西乡县机关事业单位养老保险项目设定的经济效益指标为利息收益率≥1.1%，当年实际利息收益率0.1%。未完成经济效益指标。</w:t>
      </w:r>
    </w:p>
    <w:p w14:paraId="4BAE49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50" w:name="_Toc23061"/>
      <w:r>
        <w:rPr>
          <w:rFonts w:hint="eastAsia" w:ascii="楷体_GB2312" w:hAnsi="楷体_GB2312" w:eastAsia="楷体_GB2312" w:cs="楷体_GB2312"/>
          <w:b w:val="0"/>
          <w:bCs w:val="0"/>
          <w:sz w:val="32"/>
          <w:szCs w:val="32"/>
          <w:highlight w:val="none"/>
          <w:lang w:val="en-US" w:eastAsia="zh-CN"/>
        </w:rPr>
        <w:t>（三）公众对制度改革必要性认可度不高，参保人员对机关事业单位养老保险政策知晓率不足</w:t>
      </w:r>
      <w:bookmarkEnd w:id="50"/>
    </w:p>
    <w:p w14:paraId="34E25A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2015年1月，国务院下达《关于机关事业单位工作人员养老保险制度改革的决定》，为统筹城乡社会保障体系建设，建立更加公平、可持续的养老保险制度，提供了制度保障。本次评价，评价组设置了调查问卷，了解公众对机关事业单位基本养老保险制度改革必要性的认可度，公众认可度为87.02%，参保人员对机关事业单位养老保险政策知晓率为86.06%。</w:t>
      </w:r>
    </w:p>
    <w:p w14:paraId="35FEA903">
      <w:pPr>
        <w:keepNext w:val="0"/>
        <w:keepLines w:val="0"/>
        <w:pageBreakBefore w:val="0"/>
        <w:widowControl w:val="0"/>
        <w:kinsoku/>
        <w:wordWrap/>
        <w:overflowPunct/>
        <w:topLinePunct w:val="0"/>
        <w:autoSpaceDE/>
        <w:autoSpaceDN/>
        <w:bidi w:val="0"/>
        <w:adjustRightInd/>
        <w:snapToGrid/>
        <w:spacing w:line="578" w:lineRule="exact"/>
        <w:ind w:firstLine="596" w:firstLineChars="200"/>
        <w:textAlignment w:val="auto"/>
        <w:outlineLvl w:val="9"/>
        <w:rPr>
          <w:rFonts w:hint="eastAsia" w:ascii="楷体_GB2312" w:hAnsi="楷体_GB2312" w:eastAsia="楷体_GB2312" w:cs="楷体_GB2312"/>
          <w:b w:val="0"/>
          <w:bCs w:val="0"/>
          <w:spacing w:val="-11"/>
          <w:sz w:val="32"/>
          <w:szCs w:val="32"/>
          <w:highlight w:val="none"/>
          <w:lang w:val="en-US" w:eastAsia="zh-CN"/>
        </w:rPr>
      </w:pPr>
      <w:bookmarkStart w:id="51" w:name="_Toc4198"/>
      <w:r>
        <w:rPr>
          <w:rFonts w:hint="eastAsia" w:ascii="楷体_GB2312" w:hAnsi="楷体_GB2312" w:eastAsia="楷体_GB2312" w:cs="楷体_GB2312"/>
          <w:b w:val="0"/>
          <w:bCs w:val="0"/>
          <w:spacing w:val="-11"/>
          <w:sz w:val="32"/>
          <w:szCs w:val="32"/>
          <w:highlight w:val="none"/>
          <w:lang w:val="en-US" w:eastAsia="zh-CN"/>
        </w:rPr>
        <w:t>（四）社会保险基金静态可支付月数较低，基金运行安全性不足</w:t>
      </w:r>
      <w:bookmarkEnd w:id="51"/>
    </w:p>
    <w:p w14:paraId="5756EA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2024年西乡县机关事业养老保险基金累计结余855.33万元，2024年度基金支出34,462.90万元，静态可支付月数仅为0.30，基金运行安全性不足。</w:t>
      </w:r>
    </w:p>
    <w:p w14:paraId="0F0D71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Times New Roman" w:hAnsi="Times New Roman" w:eastAsia="黑体" w:cs="Times New Roman"/>
          <w:sz w:val="32"/>
          <w:szCs w:val="32"/>
          <w:highlight w:val="none"/>
        </w:rPr>
      </w:pPr>
      <w:bookmarkStart w:id="52" w:name="_Toc29308"/>
      <w:r>
        <w:rPr>
          <w:rFonts w:hint="eastAsia" w:ascii="Times New Roman" w:hAnsi="Times New Roman" w:eastAsia="黑体" w:cs="Times New Roman"/>
          <w:sz w:val="32"/>
          <w:szCs w:val="32"/>
          <w:highlight w:val="none"/>
          <w:lang w:val="en-US" w:eastAsia="zh-CN"/>
        </w:rPr>
        <w:t>五</w:t>
      </w:r>
      <w:r>
        <w:rPr>
          <w:rFonts w:ascii="Times New Roman" w:hAnsi="Times New Roman" w:eastAsia="黑体" w:cs="Times New Roman"/>
          <w:sz w:val="32"/>
          <w:szCs w:val="32"/>
          <w:highlight w:val="none"/>
        </w:rPr>
        <w:t>、有关建议</w:t>
      </w:r>
      <w:bookmarkEnd w:id="52"/>
    </w:p>
    <w:p w14:paraId="3673FF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53" w:name="_Toc25868"/>
      <w:r>
        <w:rPr>
          <w:rFonts w:hint="eastAsia" w:ascii="楷体_GB2312" w:hAnsi="楷体_GB2312" w:eastAsia="楷体_GB2312" w:cs="楷体_GB2312"/>
          <w:b w:val="0"/>
          <w:bCs w:val="0"/>
          <w:sz w:val="32"/>
          <w:szCs w:val="32"/>
          <w:highlight w:val="none"/>
          <w:lang w:val="en-US" w:eastAsia="zh-CN"/>
        </w:rPr>
        <w:t>（一）提高预算编制的前瞻性和科学性</w:t>
      </w:r>
      <w:bookmarkEnd w:id="53"/>
    </w:p>
    <w:p w14:paraId="59D8A6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rPr>
        <w:t>一是构建动态预测模型，结合区域人口结构、老龄化率及政策导向，科学预判退休人数变化趋势；二是强化数据支撑，整合近五年退休数据与社保系统信息，建立数据库辅助决策</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提高预算编制的前瞻性和科学性。</w:t>
      </w:r>
    </w:p>
    <w:p w14:paraId="587362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54" w:name="_Toc2831"/>
      <w:r>
        <w:rPr>
          <w:rFonts w:hint="eastAsia" w:ascii="楷体_GB2312" w:hAnsi="楷体_GB2312" w:eastAsia="楷体_GB2312" w:cs="楷体_GB2312"/>
          <w:b w:val="0"/>
          <w:bCs w:val="0"/>
          <w:sz w:val="32"/>
          <w:szCs w:val="32"/>
          <w:highlight w:val="none"/>
          <w:lang w:val="en-US" w:eastAsia="zh-CN"/>
        </w:rPr>
        <w:t>（二）提升基金利息收入水平，推动经济效益指标达成</w:t>
      </w:r>
      <w:bookmarkEnd w:id="54"/>
    </w:p>
    <w:p w14:paraId="77250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一是</w:t>
      </w:r>
      <w:r>
        <w:rPr>
          <w:rFonts w:hint="eastAsia" w:ascii="Times New Roman" w:hAnsi="Times New Roman" w:eastAsia="仿宋_GB2312" w:cs="仿宋_GB2312"/>
          <w:b w:val="0"/>
          <w:bCs w:val="0"/>
          <w:sz w:val="32"/>
          <w:szCs w:val="32"/>
          <w:highlight w:val="none"/>
          <w:lang w:val="en-US" w:eastAsia="zh-CN"/>
        </w:rPr>
        <w:t>积极筹措财政资金，增加基金本金结余；二是</w:t>
      </w:r>
      <w:r>
        <w:rPr>
          <w:rFonts w:hint="eastAsia" w:ascii="Times New Roman" w:hAnsi="Times New Roman" w:eastAsia="仿宋_GB2312" w:cs="仿宋_GB2312"/>
          <w:b w:val="0"/>
          <w:bCs w:val="0"/>
          <w:sz w:val="32"/>
          <w:szCs w:val="32"/>
          <w:highlight w:val="none"/>
          <w:lang w:eastAsia="zh-CN"/>
        </w:rPr>
        <w:t>优化存款结构，将部分活期转为定期或协定存款，锁定较高利率。同时需严格把控风险，确保资金安全。通过精细化管理与市场化运作相结合，推动经济效益指标达成。</w:t>
      </w:r>
    </w:p>
    <w:p w14:paraId="457508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bookmarkStart w:id="55" w:name="_Toc1886"/>
      <w:r>
        <w:rPr>
          <w:rFonts w:hint="eastAsia" w:ascii="楷体_GB2312" w:hAnsi="楷体_GB2312" w:eastAsia="楷体_GB2312" w:cs="楷体_GB2312"/>
          <w:b w:val="0"/>
          <w:bCs w:val="0"/>
          <w:sz w:val="32"/>
          <w:szCs w:val="32"/>
          <w:highlight w:val="none"/>
          <w:lang w:val="en-US" w:eastAsia="zh-CN"/>
        </w:rPr>
        <w:t>（三）增强养老保险制度认同感与政策透明度</w:t>
      </w:r>
      <w:bookmarkEnd w:id="55"/>
    </w:p>
    <w:p w14:paraId="47D223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一是构建立体化宣传矩阵，通过政务新媒体、社区宣讲、短视频等多元形式普及政策要点；二是制作通俗化宣传手册，运用图表对比改革前后权益变化，消除误解；</w:t>
      </w:r>
      <w:r>
        <w:rPr>
          <w:rFonts w:hint="eastAsia" w:ascii="Times New Roman" w:hAnsi="Times New Roman" w:eastAsia="仿宋_GB2312" w:cs="Times New Roman"/>
          <w:b w:val="0"/>
          <w:bCs w:val="0"/>
          <w:sz w:val="32"/>
          <w:szCs w:val="32"/>
          <w:highlight w:val="none"/>
          <w:lang w:val="en-US" w:eastAsia="zh-CN"/>
        </w:rPr>
        <w:t>三</w:t>
      </w:r>
      <w:r>
        <w:rPr>
          <w:rFonts w:hint="eastAsia" w:ascii="Times New Roman" w:hAnsi="Times New Roman" w:eastAsia="仿宋_GB2312" w:cs="Times New Roman"/>
          <w:b w:val="0"/>
          <w:bCs w:val="0"/>
          <w:sz w:val="32"/>
          <w:szCs w:val="32"/>
          <w:highlight w:val="none"/>
          <w:lang w:eastAsia="zh-CN"/>
        </w:rPr>
        <w:t>是建立常态化答疑机制，开通热线电话和线上咨询平台，及时回应群众关切。同步推进政策公示标准化建设，在经办窗口设置电子查询终端，提升政策透明度，切实增强参保人员对制度的理解和认同。</w:t>
      </w:r>
    </w:p>
    <w:p w14:paraId="12F8E8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楷体" w:cs="楷体"/>
          <w:b w:val="0"/>
          <w:bCs w:val="0"/>
          <w:sz w:val="32"/>
          <w:szCs w:val="32"/>
          <w:highlight w:val="none"/>
          <w:lang w:eastAsia="zh-CN"/>
        </w:rPr>
      </w:pPr>
      <w:bookmarkStart w:id="56" w:name="_Toc20764"/>
      <w:r>
        <w:rPr>
          <w:rFonts w:hint="eastAsia" w:ascii="Times New Roman" w:hAnsi="Times New Roman" w:eastAsia="楷体" w:cs="楷体"/>
          <w:b w:val="0"/>
          <w:bCs w:val="0"/>
          <w:sz w:val="32"/>
          <w:szCs w:val="32"/>
          <w:highlight w:val="none"/>
          <w:lang w:eastAsia="zh-CN"/>
        </w:rPr>
        <w:t>（</w:t>
      </w:r>
      <w:r>
        <w:rPr>
          <w:rFonts w:hint="eastAsia" w:ascii="Times New Roman" w:hAnsi="Times New Roman" w:eastAsia="楷体" w:cs="楷体"/>
          <w:b w:val="0"/>
          <w:bCs w:val="0"/>
          <w:sz w:val="32"/>
          <w:szCs w:val="32"/>
          <w:highlight w:val="none"/>
          <w:lang w:val="en-US" w:eastAsia="zh-CN"/>
        </w:rPr>
        <w:t>四</w:t>
      </w:r>
      <w:r>
        <w:rPr>
          <w:rFonts w:hint="eastAsia" w:ascii="Times New Roman" w:hAnsi="Times New Roman" w:eastAsia="楷体" w:cs="楷体"/>
          <w:b w:val="0"/>
          <w:bCs w:val="0"/>
          <w:sz w:val="32"/>
          <w:szCs w:val="32"/>
          <w:highlight w:val="none"/>
          <w:lang w:eastAsia="zh-CN"/>
        </w:rPr>
        <w:t>）提升社会保险基金安全性与可持续性</w:t>
      </w:r>
      <w:bookmarkEnd w:id="56"/>
    </w:p>
    <w:p w14:paraId="16EDE8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44"/>
          <w:szCs w:val="44"/>
          <w:highlight w:val="none"/>
        </w:rPr>
      </w:pPr>
      <w:r>
        <w:rPr>
          <w:rFonts w:hint="eastAsia" w:ascii="Times New Roman" w:hAnsi="Times New Roman" w:eastAsia="仿宋_GB2312" w:cs="仿宋_GB2312"/>
          <w:b w:val="0"/>
          <w:bCs w:val="0"/>
          <w:sz w:val="32"/>
          <w:szCs w:val="32"/>
          <w:highlight w:val="none"/>
          <w:lang w:val="en-US" w:eastAsia="zh-CN"/>
        </w:rPr>
        <w:t>一</w:t>
      </w:r>
      <w:r>
        <w:rPr>
          <w:rFonts w:hint="eastAsia" w:ascii="Times New Roman" w:hAnsi="Times New Roman" w:eastAsia="仿宋_GB2312" w:cs="仿宋_GB2312"/>
          <w:b w:val="0"/>
          <w:bCs w:val="0"/>
          <w:sz w:val="32"/>
          <w:szCs w:val="32"/>
          <w:highlight w:val="none"/>
          <w:lang w:eastAsia="zh-CN"/>
        </w:rPr>
        <w:t>是构建预警体系，按月监测基金穿底风险，分级启动应急调剂金制度；</w:t>
      </w:r>
      <w:r>
        <w:rPr>
          <w:rFonts w:hint="eastAsia" w:ascii="Times New Roman" w:hAnsi="Times New Roman" w:eastAsia="仿宋_GB2312" w:cs="仿宋_GB2312"/>
          <w:b w:val="0"/>
          <w:bCs w:val="0"/>
          <w:sz w:val="32"/>
          <w:szCs w:val="32"/>
          <w:highlight w:val="none"/>
          <w:lang w:val="en-US" w:eastAsia="zh-CN"/>
        </w:rPr>
        <w:t>二</w:t>
      </w:r>
      <w:r>
        <w:rPr>
          <w:rFonts w:hint="eastAsia" w:ascii="Times New Roman" w:hAnsi="Times New Roman" w:eastAsia="仿宋_GB2312" w:cs="仿宋_GB2312"/>
          <w:b w:val="0"/>
          <w:bCs w:val="0"/>
          <w:sz w:val="32"/>
          <w:szCs w:val="32"/>
          <w:highlight w:val="none"/>
          <w:lang w:eastAsia="zh-CN"/>
        </w:rPr>
        <w:t>是争取财政支持，建立县级基本养老金缺口分担机制。通过多措并举增强基金抗风险能力，确保制度平稳运行。</w:t>
      </w:r>
    </w:p>
    <w:p w14:paraId="2CC666BD">
      <w:pPr>
        <w:pStyle w:val="2"/>
        <w:keepNext w:val="0"/>
        <w:keepLines w:val="0"/>
        <w:pageBreakBefore w:val="0"/>
        <w:widowControl w:val="0"/>
        <w:kinsoku/>
        <w:wordWrap/>
        <w:overflowPunct/>
        <w:topLinePunct w:val="0"/>
        <w:autoSpaceDE/>
        <w:autoSpaceDN/>
        <w:bidi w:val="0"/>
        <w:snapToGrid/>
        <w:spacing w:line="578" w:lineRule="exact"/>
        <w:ind w:left="0" w:leftChars="0" w:firstLine="0" w:firstLineChars="0"/>
        <w:jc w:val="both"/>
        <w:textAlignment w:val="auto"/>
        <w:rPr>
          <w:rFonts w:hint="eastAsia" w:ascii="Times New Roman" w:hAnsi="Times New Roman" w:eastAsia="黑体" w:cs="黑体"/>
          <w:sz w:val="44"/>
          <w:szCs w:val="44"/>
          <w:highlight w:val="none"/>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A04B4A-9154-4A76-986F-7168645372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95E5AE7-908C-4397-9F7D-31C4BD08F6AE}"/>
  </w:font>
  <w:font w:name="方正小标宋_GBK">
    <w:panose1 w:val="03000509000000000000"/>
    <w:charset w:val="86"/>
    <w:family w:val="auto"/>
    <w:pitch w:val="default"/>
    <w:sig w:usb0="00000001" w:usb1="080E0000" w:usb2="00000000" w:usb3="00000000" w:csb0="00040000" w:csb1="00000000"/>
    <w:embedRegular r:id="rId3" w:fontKey="{19BFE7A8-3AFA-4F43-98EF-66ECA08767B2}"/>
  </w:font>
  <w:font w:name="楷体">
    <w:panose1 w:val="02010609060101010101"/>
    <w:charset w:val="86"/>
    <w:family w:val="modern"/>
    <w:pitch w:val="default"/>
    <w:sig w:usb0="800002BF" w:usb1="38CF7CFA" w:usb2="00000016" w:usb3="00000000" w:csb0="00040001" w:csb1="00000000"/>
    <w:embedRegular r:id="rId4" w:fontKey="{68913E57-1B99-4085-B25B-17E75BDF8C45}"/>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embedRegular r:id="rId5" w:fontKey="{CAA27DC8-90FF-4FEA-83DE-25877AD6968C}"/>
  </w:font>
  <w:font w:name="仿宋">
    <w:panose1 w:val="02010609060101010101"/>
    <w:charset w:val="86"/>
    <w:family w:val="modern"/>
    <w:pitch w:val="default"/>
    <w:sig w:usb0="800002BF" w:usb1="38CF7CFA" w:usb2="00000016" w:usb3="00000000" w:csb0="00040001" w:csb1="00000000"/>
    <w:embedRegular r:id="rId6" w:fontKey="{6DFA5ADA-B587-42F4-89ED-0B097153049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1049">
    <w:pPr>
      <w:pStyle w:val="11"/>
      <w:wordWrap w:val="0"/>
      <w:jc w:val="both"/>
      <w:rPr>
        <w:rFonts w:asciiTheme="minorEastAsia" w:hAnsiTheme="minorEastAsia"/>
        <w:sz w:val="28"/>
        <w:szCs w:val="28"/>
      </w:rPr>
    </w:pPr>
  </w:p>
  <w:p w14:paraId="005DF4AC">
    <w:pPr>
      <w:pStyle w:val="11"/>
      <w:wordWrap w:val="0"/>
      <w:jc w:val="both"/>
      <w:rPr>
        <w:rFonts w:asciiTheme="minorEastAsia" w:hAnsiTheme="minorEastAsia"/>
        <w:sz w:val="28"/>
        <w:szCs w:val="28"/>
      </w:rPr>
    </w:pPr>
  </w:p>
  <w:p w14:paraId="72E7C4F7">
    <w:pPr>
      <w:pStyle w:val="11"/>
      <w:wordWrap w:val="0"/>
      <w:jc w:val="both"/>
      <w:rPr>
        <w:rFonts w:asciiTheme="minorEastAsia" w:hAnsiTheme="minorEastAsia"/>
        <w:sz w:val="28"/>
        <w:szCs w:val="28"/>
      </w:rPr>
    </w:pPr>
  </w:p>
  <w:p w14:paraId="10FA9369">
    <w:pPr>
      <w:pStyle w:val="11"/>
      <w:wordWrap w:val="0"/>
      <w:jc w:val="both"/>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72313">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72313">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FEAA8C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2FC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055FD"/>
    <w:multiLevelType w:val="singleLevel"/>
    <w:tmpl w:val="A04055FD"/>
    <w:lvl w:ilvl="0" w:tentative="0">
      <w:start w:val="1"/>
      <w:numFmt w:val="chineseCounting"/>
      <w:pStyle w:val="24"/>
      <w:suff w:val="nothing"/>
      <w:lvlText w:val="（%1）"/>
      <w:lvlJc w:val="left"/>
      <w:pPr>
        <w:ind w:left="0" w:firstLine="420"/>
      </w:pPr>
      <w:rPr>
        <w:rFonts w:hint="eastAsia"/>
      </w:rPr>
    </w:lvl>
  </w:abstractNum>
  <w:abstractNum w:abstractNumId="1">
    <w:nsid w:val="1D5F1CFE"/>
    <w:multiLevelType w:val="singleLevel"/>
    <w:tmpl w:val="1D5F1CFE"/>
    <w:lvl w:ilvl="0" w:tentative="0">
      <w:start w:val="1"/>
      <w:numFmt w:val="chineseCounting"/>
      <w:pStyle w:val="23"/>
      <w:suff w:val="nothing"/>
      <w:lvlText w:val="%1、"/>
      <w:lvlJc w:val="left"/>
      <w:pPr>
        <w:ind w:left="0" w:firstLine="420"/>
      </w:pPr>
      <w:rPr>
        <w:rFonts w:hint="eastAsia"/>
      </w:rPr>
    </w:lvl>
  </w:abstractNum>
  <w:abstractNum w:abstractNumId="2">
    <w:nsid w:val="4A8E917B"/>
    <w:multiLevelType w:val="singleLevel"/>
    <w:tmpl w:val="4A8E917B"/>
    <w:lvl w:ilvl="0" w:tentative="0">
      <w:start w:val="1"/>
      <w:numFmt w:val="decimal"/>
      <w:pStyle w:val="25"/>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zcyZjYzZjg3YTk0MmIxMjc3ZWYzNGNhZmUwZjQifQ=="/>
  </w:docVars>
  <w:rsids>
    <w:rsidRoot w:val="1783292B"/>
    <w:rsid w:val="000D7132"/>
    <w:rsid w:val="004D535B"/>
    <w:rsid w:val="005E7B58"/>
    <w:rsid w:val="008E4133"/>
    <w:rsid w:val="009155EB"/>
    <w:rsid w:val="00A20AD3"/>
    <w:rsid w:val="00A51158"/>
    <w:rsid w:val="00AD1A4D"/>
    <w:rsid w:val="00BF46BB"/>
    <w:rsid w:val="00BF470D"/>
    <w:rsid w:val="00C2799A"/>
    <w:rsid w:val="00CE5269"/>
    <w:rsid w:val="00D4488C"/>
    <w:rsid w:val="00DB086D"/>
    <w:rsid w:val="00E07F78"/>
    <w:rsid w:val="00E16159"/>
    <w:rsid w:val="00F03A7A"/>
    <w:rsid w:val="00F645F4"/>
    <w:rsid w:val="01176EA7"/>
    <w:rsid w:val="01230C4D"/>
    <w:rsid w:val="01591402"/>
    <w:rsid w:val="017D63B7"/>
    <w:rsid w:val="01B25D86"/>
    <w:rsid w:val="01E87E3E"/>
    <w:rsid w:val="026D5395"/>
    <w:rsid w:val="032D1157"/>
    <w:rsid w:val="03BF7149"/>
    <w:rsid w:val="04544ECE"/>
    <w:rsid w:val="04844854"/>
    <w:rsid w:val="04FB7792"/>
    <w:rsid w:val="058631BA"/>
    <w:rsid w:val="05A27476"/>
    <w:rsid w:val="05B134CB"/>
    <w:rsid w:val="074418A4"/>
    <w:rsid w:val="07E44D1E"/>
    <w:rsid w:val="08514ACC"/>
    <w:rsid w:val="08D1701F"/>
    <w:rsid w:val="0926412B"/>
    <w:rsid w:val="095C5789"/>
    <w:rsid w:val="0990452D"/>
    <w:rsid w:val="09BA1BD1"/>
    <w:rsid w:val="09DE563E"/>
    <w:rsid w:val="09FB0183"/>
    <w:rsid w:val="0AA915C8"/>
    <w:rsid w:val="0AB60BE9"/>
    <w:rsid w:val="0AD81F43"/>
    <w:rsid w:val="0AE310B6"/>
    <w:rsid w:val="0B941820"/>
    <w:rsid w:val="0C3936B4"/>
    <w:rsid w:val="0CD1246A"/>
    <w:rsid w:val="0CF83115"/>
    <w:rsid w:val="0D146622"/>
    <w:rsid w:val="0D4C0113"/>
    <w:rsid w:val="0D4F1B22"/>
    <w:rsid w:val="0D6F1957"/>
    <w:rsid w:val="0DA9197D"/>
    <w:rsid w:val="0E5847A9"/>
    <w:rsid w:val="0E5F61B3"/>
    <w:rsid w:val="0E9138BF"/>
    <w:rsid w:val="0E9F3BB7"/>
    <w:rsid w:val="0EAA1E5A"/>
    <w:rsid w:val="0F194E44"/>
    <w:rsid w:val="0F5F2EAB"/>
    <w:rsid w:val="104A2039"/>
    <w:rsid w:val="114A32C1"/>
    <w:rsid w:val="11A42EE3"/>
    <w:rsid w:val="11B1784D"/>
    <w:rsid w:val="1251652E"/>
    <w:rsid w:val="125F4D6E"/>
    <w:rsid w:val="12B46304"/>
    <w:rsid w:val="12BE3312"/>
    <w:rsid w:val="12C34EA2"/>
    <w:rsid w:val="13930610"/>
    <w:rsid w:val="14435D13"/>
    <w:rsid w:val="14F71BA0"/>
    <w:rsid w:val="150A777B"/>
    <w:rsid w:val="15506629"/>
    <w:rsid w:val="158357FA"/>
    <w:rsid w:val="16985CAF"/>
    <w:rsid w:val="16F06BE6"/>
    <w:rsid w:val="16F969DB"/>
    <w:rsid w:val="1783292B"/>
    <w:rsid w:val="179C125C"/>
    <w:rsid w:val="17E21F9C"/>
    <w:rsid w:val="17F17FFA"/>
    <w:rsid w:val="18217C60"/>
    <w:rsid w:val="18C83229"/>
    <w:rsid w:val="18C837EE"/>
    <w:rsid w:val="18D314AE"/>
    <w:rsid w:val="19956DF7"/>
    <w:rsid w:val="1A9A29A1"/>
    <w:rsid w:val="1AF534A7"/>
    <w:rsid w:val="1B102A6E"/>
    <w:rsid w:val="1B4F57D0"/>
    <w:rsid w:val="1B546CAC"/>
    <w:rsid w:val="1C053819"/>
    <w:rsid w:val="1C210FDE"/>
    <w:rsid w:val="1C7047D5"/>
    <w:rsid w:val="1CF46962"/>
    <w:rsid w:val="1D906ED8"/>
    <w:rsid w:val="1DAE16EE"/>
    <w:rsid w:val="1DC92C25"/>
    <w:rsid w:val="1E107ADD"/>
    <w:rsid w:val="1E1E6BD5"/>
    <w:rsid w:val="1E3B5065"/>
    <w:rsid w:val="1E6E63BC"/>
    <w:rsid w:val="1ECE55CB"/>
    <w:rsid w:val="1EDE5ABE"/>
    <w:rsid w:val="1EE8135C"/>
    <w:rsid w:val="1EF573EA"/>
    <w:rsid w:val="1EF87EC0"/>
    <w:rsid w:val="1F236026"/>
    <w:rsid w:val="1FE10024"/>
    <w:rsid w:val="20385782"/>
    <w:rsid w:val="20BF4565"/>
    <w:rsid w:val="20F92B97"/>
    <w:rsid w:val="21B53B01"/>
    <w:rsid w:val="21CB49B0"/>
    <w:rsid w:val="21E63DEC"/>
    <w:rsid w:val="22CC724F"/>
    <w:rsid w:val="22D80895"/>
    <w:rsid w:val="231E03A7"/>
    <w:rsid w:val="233F1C1A"/>
    <w:rsid w:val="2342688B"/>
    <w:rsid w:val="24096B37"/>
    <w:rsid w:val="24612064"/>
    <w:rsid w:val="249A25DE"/>
    <w:rsid w:val="24C31A17"/>
    <w:rsid w:val="25074744"/>
    <w:rsid w:val="252C2672"/>
    <w:rsid w:val="25AF2948"/>
    <w:rsid w:val="25FE51FB"/>
    <w:rsid w:val="26381D35"/>
    <w:rsid w:val="267B5E32"/>
    <w:rsid w:val="2694227D"/>
    <w:rsid w:val="269819B9"/>
    <w:rsid w:val="27475E22"/>
    <w:rsid w:val="2774300F"/>
    <w:rsid w:val="27A264B2"/>
    <w:rsid w:val="27C04309"/>
    <w:rsid w:val="27CF207D"/>
    <w:rsid w:val="27D72AF0"/>
    <w:rsid w:val="27E62005"/>
    <w:rsid w:val="27F3377F"/>
    <w:rsid w:val="281771A8"/>
    <w:rsid w:val="283B6176"/>
    <w:rsid w:val="290D36C7"/>
    <w:rsid w:val="299655CA"/>
    <w:rsid w:val="29DE6291"/>
    <w:rsid w:val="2A031934"/>
    <w:rsid w:val="2B542929"/>
    <w:rsid w:val="2B803577"/>
    <w:rsid w:val="2B9A4ED7"/>
    <w:rsid w:val="2BA00898"/>
    <w:rsid w:val="2BB43C87"/>
    <w:rsid w:val="2CBD790D"/>
    <w:rsid w:val="2D173C07"/>
    <w:rsid w:val="2D5637B1"/>
    <w:rsid w:val="2E7C6DE9"/>
    <w:rsid w:val="2E937D7A"/>
    <w:rsid w:val="2F5C6F04"/>
    <w:rsid w:val="30DE0B0F"/>
    <w:rsid w:val="30FF266E"/>
    <w:rsid w:val="311A5BD1"/>
    <w:rsid w:val="312964BB"/>
    <w:rsid w:val="312D39F9"/>
    <w:rsid w:val="31A76E5A"/>
    <w:rsid w:val="31F82AAF"/>
    <w:rsid w:val="32111A36"/>
    <w:rsid w:val="325D704A"/>
    <w:rsid w:val="32D422EB"/>
    <w:rsid w:val="32E2375D"/>
    <w:rsid w:val="33235302"/>
    <w:rsid w:val="33714F05"/>
    <w:rsid w:val="337C72E0"/>
    <w:rsid w:val="33931BF7"/>
    <w:rsid w:val="33C06ED0"/>
    <w:rsid w:val="33FE0C47"/>
    <w:rsid w:val="34782B17"/>
    <w:rsid w:val="3490628E"/>
    <w:rsid w:val="34A4403D"/>
    <w:rsid w:val="35590355"/>
    <w:rsid w:val="35977693"/>
    <w:rsid w:val="359D0EDC"/>
    <w:rsid w:val="359F165A"/>
    <w:rsid w:val="35B22861"/>
    <w:rsid w:val="360D5952"/>
    <w:rsid w:val="365D2B5D"/>
    <w:rsid w:val="36C130C7"/>
    <w:rsid w:val="36E20E6E"/>
    <w:rsid w:val="36E96615"/>
    <w:rsid w:val="36FA1111"/>
    <w:rsid w:val="370B2E17"/>
    <w:rsid w:val="377203B8"/>
    <w:rsid w:val="37C92DDF"/>
    <w:rsid w:val="37EC3E50"/>
    <w:rsid w:val="3814669D"/>
    <w:rsid w:val="3844298F"/>
    <w:rsid w:val="384A76A4"/>
    <w:rsid w:val="38C672FD"/>
    <w:rsid w:val="38FC4091"/>
    <w:rsid w:val="39017F02"/>
    <w:rsid w:val="39143B13"/>
    <w:rsid w:val="395C23C4"/>
    <w:rsid w:val="39A13064"/>
    <w:rsid w:val="39EC198E"/>
    <w:rsid w:val="39F519F5"/>
    <w:rsid w:val="39FA6160"/>
    <w:rsid w:val="3A0C31C4"/>
    <w:rsid w:val="3A154F63"/>
    <w:rsid w:val="3A567DBA"/>
    <w:rsid w:val="3B2353D1"/>
    <w:rsid w:val="3B420622"/>
    <w:rsid w:val="3BE90434"/>
    <w:rsid w:val="3C9E1B3C"/>
    <w:rsid w:val="3CDD6623"/>
    <w:rsid w:val="3D3C127C"/>
    <w:rsid w:val="3DCB6B42"/>
    <w:rsid w:val="3E3C34CE"/>
    <w:rsid w:val="3E5A3EDC"/>
    <w:rsid w:val="3EE32E1E"/>
    <w:rsid w:val="3F011C22"/>
    <w:rsid w:val="3F16012B"/>
    <w:rsid w:val="3F7C275B"/>
    <w:rsid w:val="402204A1"/>
    <w:rsid w:val="402D779F"/>
    <w:rsid w:val="4167452A"/>
    <w:rsid w:val="41777387"/>
    <w:rsid w:val="417F303A"/>
    <w:rsid w:val="41BA2CF5"/>
    <w:rsid w:val="41C563AB"/>
    <w:rsid w:val="424A44BB"/>
    <w:rsid w:val="4373721A"/>
    <w:rsid w:val="43A00C61"/>
    <w:rsid w:val="43B11C98"/>
    <w:rsid w:val="44BF0C50"/>
    <w:rsid w:val="44F114C2"/>
    <w:rsid w:val="44FD449E"/>
    <w:rsid w:val="45081DE3"/>
    <w:rsid w:val="45405AEC"/>
    <w:rsid w:val="454779C9"/>
    <w:rsid w:val="467B6B5D"/>
    <w:rsid w:val="469A4BC5"/>
    <w:rsid w:val="46B03E32"/>
    <w:rsid w:val="46D9060F"/>
    <w:rsid w:val="46EB7948"/>
    <w:rsid w:val="471D2B92"/>
    <w:rsid w:val="476E0981"/>
    <w:rsid w:val="47877375"/>
    <w:rsid w:val="479300E5"/>
    <w:rsid w:val="47D74267"/>
    <w:rsid w:val="47E2206A"/>
    <w:rsid w:val="47F81095"/>
    <w:rsid w:val="482C0320"/>
    <w:rsid w:val="48320676"/>
    <w:rsid w:val="483E083F"/>
    <w:rsid w:val="48546F47"/>
    <w:rsid w:val="4879128B"/>
    <w:rsid w:val="491D6F77"/>
    <w:rsid w:val="4A304379"/>
    <w:rsid w:val="4B3A0D95"/>
    <w:rsid w:val="4B771FE9"/>
    <w:rsid w:val="4B7A48A5"/>
    <w:rsid w:val="4C5251E2"/>
    <w:rsid w:val="4C7E6D22"/>
    <w:rsid w:val="4CD83320"/>
    <w:rsid w:val="4D05570A"/>
    <w:rsid w:val="4D195E86"/>
    <w:rsid w:val="4F054999"/>
    <w:rsid w:val="4F265BC6"/>
    <w:rsid w:val="4F3F1455"/>
    <w:rsid w:val="4FBA6948"/>
    <w:rsid w:val="5040235C"/>
    <w:rsid w:val="504870C6"/>
    <w:rsid w:val="50901457"/>
    <w:rsid w:val="52F93F33"/>
    <w:rsid w:val="52FC25CA"/>
    <w:rsid w:val="53085076"/>
    <w:rsid w:val="53176B7B"/>
    <w:rsid w:val="533B1C60"/>
    <w:rsid w:val="53BB67EB"/>
    <w:rsid w:val="53E775E0"/>
    <w:rsid w:val="543C3DD0"/>
    <w:rsid w:val="54BC6CBF"/>
    <w:rsid w:val="55336A81"/>
    <w:rsid w:val="555923F7"/>
    <w:rsid w:val="568A650E"/>
    <w:rsid w:val="56E6575C"/>
    <w:rsid w:val="571C3492"/>
    <w:rsid w:val="57655C08"/>
    <w:rsid w:val="57C366BA"/>
    <w:rsid w:val="57F368BA"/>
    <w:rsid w:val="57FA046D"/>
    <w:rsid w:val="582B03E3"/>
    <w:rsid w:val="58CD4FF7"/>
    <w:rsid w:val="58E42504"/>
    <w:rsid w:val="591A76DA"/>
    <w:rsid w:val="593F603C"/>
    <w:rsid w:val="5979562F"/>
    <w:rsid w:val="59FF5F54"/>
    <w:rsid w:val="5A2B6F98"/>
    <w:rsid w:val="5A9621C3"/>
    <w:rsid w:val="5A9F6E67"/>
    <w:rsid w:val="5AC1418A"/>
    <w:rsid w:val="5AF85195"/>
    <w:rsid w:val="5B197461"/>
    <w:rsid w:val="5B2630E4"/>
    <w:rsid w:val="5BF1724E"/>
    <w:rsid w:val="5C2A10A5"/>
    <w:rsid w:val="5C33452D"/>
    <w:rsid w:val="5C3D3F6F"/>
    <w:rsid w:val="5C3F307B"/>
    <w:rsid w:val="5C607E15"/>
    <w:rsid w:val="5CAE51AA"/>
    <w:rsid w:val="5CAF2C65"/>
    <w:rsid w:val="5CBF6EBA"/>
    <w:rsid w:val="5CC4398D"/>
    <w:rsid w:val="5D3F48BC"/>
    <w:rsid w:val="5D9F1AA3"/>
    <w:rsid w:val="5E5665AD"/>
    <w:rsid w:val="5E7F6A06"/>
    <w:rsid w:val="5EA05A1B"/>
    <w:rsid w:val="5EB22BFB"/>
    <w:rsid w:val="5EBC410B"/>
    <w:rsid w:val="5EBD3CCB"/>
    <w:rsid w:val="5ED029A3"/>
    <w:rsid w:val="5EF67A93"/>
    <w:rsid w:val="5FA434A8"/>
    <w:rsid w:val="5FDC1A9B"/>
    <w:rsid w:val="600106D4"/>
    <w:rsid w:val="601A273C"/>
    <w:rsid w:val="6038368E"/>
    <w:rsid w:val="606F5E9D"/>
    <w:rsid w:val="60D36CFD"/>
    <w:rsid w:val="61024E44"/>
    <w:rsid w:val="61202B3F"/>
    <w:rsid w:val="61596B36"/>
    <w:rsid w:val="61671226"/>
    <w:rsid w:val="61E1143C"/>
    <w:rsid w:val="62A0498D"/>
    <w:rsid w:val="62E92A8F"/>
    <w:rsid w:val="62EA0145"/>
    <w:rsid w:val="635C7B4B"/>
    <w:rsid w:val="64580120"/>
    <w:rsid w:val="647A29FA"/>
    <w:rsid w:val="654752D4"/>
    <w:rsid w:val="659375C8"/>
    <w:rsid w:val="65BC7F8C"/>
    <w:rsid w:val="65D33BEF"/>
    <w:rsid w:val="661B3C77"/>
    <w:rsid w:val="664A2686"/>
    <w:rsid w:val="667623EA"/>
    <w:rsid w:val="668A4527"/>
    <w:rsid w:val="668C77C3"/>
    <w:rsid w:val="67060919"/>
    <w:rsid w:val="67077211"/>
    <w:rsid w:val="67A024B3"/>
    <w:rsid w:val="67AC3963"/>
    <w:rsid w:val="67E67BB1"/>
    <w:rsid w:val="68534824"/>
    <w:rsid w:val="688065B7"/>
    <w:rsid w:val="68A65864"/>
    <w:rsid w:val="68B00491"/>
    <w:rsid w:val="68CF31CA"/>
    <w:rsid w:val="69C360A7"/>
    <w:rsid w:val="69FB0CF1"/>
    <w:rsid w:val="6A417815"/>
    <w:rsid w:val="6ACE11D6"/>
    <w:rsid w:val="6AD00299"/>
    <w:rsid w:val="6B50502E"/>
    <w:rsid w:val="6B59411F"/>
    <w:rsid w:val="6B651D27"/>
    <w:rsid w:val="6B9D0D77"/>
    <w:rsid w:val="6BEF5F59"/>
    <w:rsid w:val="6BF7015C"/>
    <w:rsid w:val="6CAD7C64"/>
    <w:rsid w:val="6DE0227E"/>
    <w:rsid w:val="6EE55491"/>
    <w:rsid w:val="6EF27E40"/>
    <w:rsid w:val="6F144C3D"/>
    <w:rsid w:val="6F94661F"/>
    <w:rsid w:val="6FBD2515"/>
    <w:rsid w:val="6FFD31D5"/>
    <w:rsid w:val="70346E31"/>
    <w:rsid w:val="704F0B5D"/>
    <w:rsid w:val="70C97301"/>
    <w:rsid w:val="71A945A3"/>
    <w:rsid w:val="71FD2EF2"/>
    <w:rsid w:val="724C3C72"/>
    <w:rsid w:val="72715C23"/>
    <w:rsid w:val="729270E5"/>
    <w:rsid w:val="7295322F"/>
    <w:rsid w:val="72B1542D"/>
    <w:rsid w:val="72C801FB"/>
    <w:rsid w:val="730B44FA"/>
    <w:rsid w:val="73391461"/>
    <w:rsid w:val="734F67D0"/>
    <w:rsid w:val="741A0DD6"/>
    <w:rsid w:val="74717C23"/>
    <w:rsid w:val="74F81A1E"/>
    <w:rsid w:val="75170775"/>
    <w:rsid w:val="757B46F8"/>
    <w:rsid w:val="759A149E"/>
    <w:rsid w:val="76275854"/>
    <w:rsid w:val="76310C91"/>
    <w:rsid w:val="7662502A"/>
    <w:rsid w:val="76D10C9A"/>
    <w:rsid w:val="76F06B96"/>
    <w:rsid w:val="7747091A"/>
    <w:rsid w:val="7748133A"/>
    <w:rsid w:val="77766A75"/>
    <w:rsid w:val="77856E36"/>
    <w:rsid w:val="77C11909"/>
    <w:rsid w:val="784C21F0"/>
    <w:rsid w:val="78661E84"/>
    <w:rsid w:val="789F2620"/>
    <w:rsid w:val="78A3447D"/>
    <w:rsid w:val="793E4D03"/>
    <w:rsid w:val="79AB1EB9"/>
    <w:rsid w:val="79CC113E"/>
    <w:rsid w:val="7AA535C1"/>
    <w:rsid w:val="7AE24453"/>
    <w:rsid w:val="7AF17FC7"/>
    <w:rsid w:val="7B9463F7"/>
    <w:rsid w:val="7D0C5DB5"/>
    <w:rsid w:val="7D1943FF"/>
    <w:rsid w:val="7D3467E3"/>
    <w:rsid w:val="7DC72843"/>
    <w:rsid w:val="7DD86068"/>
    <w:rsid w:val="7E552D44"/>
    <w:rsid w:val="7E9D0CDA"/>
    <w:rsid w:val="7EAA7A04"/>
    <w:rsid w:val="7EAF7F39"/>
    <w:rsid w:val="7ECE1DA9"/>
    <w:rsid w:val="7EFA2E85"/>
    <w:rsid w:val="7F173361"/>
    <w:rsid w:val="7F510E9D"/>
    <w:rsid w:val="7FAC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kinsoku w:val="0"/>
      <w:autoSpaceDE w:val="0"/>
      <w:autoSpaceDN w:val="0"/>
      <w:spacing w:line="560" w:lineRule="exact"/>
      <w:ind w:firstLine="883" w:firstLineChars="200"/>
      <w:textAlignment w:val="baseline"/>
      <w:outlineLvl w:val="2"/>
    </w:pPr>
    <w:rPr>
      <w:rFonts w:ascii="Arial" w:hAnsi="Arial" w:eastAsia="仿宋_GB2312" w:cs="Times New Roman"/>
      <w:b/>
      <w:bCs/>
      <w:color w:val="000000"/>
      <w:kern w:val="0"/>
      <w:sz w:val="32"/>
      <w:szCs w:val="32"/>
    </w:rPr>
  </w:style>
  <w:style w:type="paragraph" w:styleId="6">
    <w:name w:val="heading 5"/>
    <w:basedOn w:val="1"/>
    <w:next w:val="1"/>
    <w:unhideWhenUsed/>
    <w:qFormat/>
    <w:uiPriority w:val="9"/>
    <w:pPr>
      <w:adjustRightInd w:val="0"/>
      <w:spacing w:line="400" w:lineRule="exact"/>
      <w:jc w:val="center"/>
      <w:outlineLvl w:val="4"/>
    </w:pPr>
    <w:rPr>
      <w:rFonts w:ascii="Times New Roman" w:hAnsi="Times New Roman" w:eastAsia="仿宋_GB2312"/>
      <w:sz w:val="24"/>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firstLineChars="200"/>
    </w:pPr>
    <w:rPr>
      <w:rFonts w:cs="宋体"/>
      <w:sz w:val="24"/>
      <w:szCs w:val="20"/>
    </w:rPr>
  </w:style>
  <w:style w:type="paragraph" w:styleId="7">
    <w:name w:val="annotation text"/>
    <w:basedOn w:val="1"/>
    <w:qFormat/>
    <w:uiPriority w:val="0"/>
    <w:pPr>
      <w:jc w:val="left"/>
    </w:pPr>
  </w:style>
  <w:style w:type="paragraph" w:styleId="8">
    <w:name w:val="Body Text"/>
    <w:basedOn w:val="1"/>
    <w:next w:val="1"/>
    <w:unhideWhenUsed/>
    <w:qFormat/>
    <w:uiPriority w:val="99"/>
    <w:pPr>
      <w:tabs>
        <w:tab w:val="left" w:pos="0"/>
      </w:tabs>
    </w:pPr>
    <w:rPr>
      <w:rFonts w:ascii="宋体" w:hAnsi="宋体" w:eastAsia="仿宋_GB2312"/>
      <w:color w:val="000000"/>
      <w:sz w:val="24"/>
    </w:rPr>
  </w:style>
  <w:style w:type="paragraph" w:styleId="9">
    <w:name w:val="Body Text Indent"/>
    <w:basedOn w:val="1"/>
    <w:qFormat/>
    <w:uiPriority w:val="0"/>
    <w:pPr>
      <w:ind w:firstLine="480" w:firstLineChars="200"/>
    </w:pPr>
    <w:rPr>
      <w:sz w:val="24"/>
    </w:rPr>
  </w:style>
  <w:style w:type="paragraph" w:styleId="10">
    <w:name w:val="toc 3"/>
    <w:basedOn w:val="1"/>
    <w:next w:val="1"/>
    <w:qFormat/>
    <w:uiPriority w:val="0"/>
    <w:pPr>
      <w:ind w:left="840" w:leftChars="4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unhideWhenUsed/>
    <w:qFormat/>
    <w:uiPriority w:val="39"/>
    <w:pPr>
      <w:tabs>
        <w:tab w:val="right" w:leader="dot" w:pos="8296"/>
      </w:tabs>
      <w:spacing w:line="460" w:lineRule="exact"/>
    </w:pPr>
    <w:rPr>
      <w:rFonts w:ascii="Times New Roman" w:hAnsi="Times New Roman" w:eastAsia="宋体" w:cs="Times New Roman"/>
      <w:b/>
      <w:lang w:val="en-US" w:eastAsia="zh-CN" w:bidi="ar-SA"/>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9"/>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paragraph" w:customStyle="1" w:styleId="21">
    <w:name w:val="公文题目"/>
    <w:basedOn w:val="1"/>
    <w:qFormat/>
    <w:uiPriority w:val="0"/>
    <w:pPr>
      <w:adjustRightInd w:val="0"/>
      <w:snapToGrid w:val="0"/>
      <w:spacing w:line="600" w:lineRule="exact"/>
      <w:jc w:val="center"/>
    </w:pPr>
    <w:rPr>
      <w:rFonts w:hint="eastAsia" w:ascii="方正小标宋_GBK" w:hAnsi="方正小标宋_GBK" w:eastAsia="方正小标宋_GBK" w:cs="方正小标宋_GBK"/>
      <w:sz w:val="44"/>
      <w:szCs w:val="52"/>
    </w:rPr>
  </w:style>
  <w:style w:type="paragraph" w:customStyle="1" w:styleId="22">
    <w:name w:val="公文正文"/>
    <w:basedOn w:val="1"/>
    <w:qFormat/>
    <w:uiPriority w:val="0"/>
    <w:pPr>
      <w:spacing w:line="600" w:lineRule="exact"/>
      <w:ind w:firstLine="640" w:firstLineChars="200"/>
    </w:pPr>
    <w:rPr>
      <w:rFonts w:hint="eastAsia" w:ascii="仿宋_GB2312" w:hAnsi="仿宋_GB2312" w:eastAsia="仿宋_GB2312" w:cs="仿宋_GB2312"/>
      <w:sz w:val="32"/>
      <w:szCs w:val="32"/>
    </w:rPr>
  </w:style>
  <w:style w:type="paragraph" w:customStyle="1" w:styleId="23">
    <w:name w:val="公文一级标题"/>
    <w:basedOn w:val="1"/>
    <w:qFormat/>
    <w:uiPriority w:val="0"/>
    <w:pPr>
      <w:numPr>
        <w:ilvl w:val="0"/>
        <w:numId w:val="1"/>
      </w:numPr>
      <w:adjustRightInd w:val="0"/>
      <w:snapToGrid w:val="0"/>
      <w:spacing w:line="600" w:lineRule="exact"/>
      <w:ind w:firstLine="640" w:firstLineChars="200"/>
    </w:pPr>
    <w:rPr>
      <w:rFonts w:hint="eastAsia" w:ascii="黑体" w:hAnsi="黑体" w:eastAsia="黑体" w:cs="黑体"/>
      <w:sz w:val="32"/>
      <w:szCs w:val="32"/>
    </w:rPr>
  </w:style>
  <w:style w:type="paragraph" w:customStyle="1" w:styleId="24">
    <w:name w:val="公文二级标题"/>
    <w:basedOn w:val="1"/>
    <w:qFormat/>
    <w:uiPriority w:val="0"/>
    <w:pPr>
      <w:numPr>
        <w:ilvl w:val="0"/>
        <w:numId w:val="2"/>
      </w:numPr>
      <w:adjustRightInd w:val="0"/>
      <w:snapToGrid w:val="0"/>
      <w:spacing w:line="600" w:lineRule="exact"/>
      <w:ind w:firstLine="880" w:firstLineChars="200"/>
    </w:pPr>
    <w:rPr>
      <w:rFonts w:hint="eastAsia" w:ascii="楷体" w:hAnsi="楷体" w:eastAsia="楷体" w:cs="楷体"/>
      <w:sz w:val="32"/>
      <w:szCs w:val="32"/>
    </w:rPr>
  </w:style>
  <w:style w:type="paragraph" w:customStyle="1" w:styleId="25">
    <w:name w:val="公文三级标题"/>
    <w:basedOn w:val="1"/>
    <w:qFormat/>
    <w:uiPriority w:val="0"/>
    <w:pPr>
      <w:numPr>
        <w:ilvl w:val="0"/>
        <w:numId w:val="3"/>
      </w:numPr>
      <w:adjustRightInd w:val="0"/>
      <w:snapToGrid w:val="0"/>
      <w:spacing w:line="600" w:lineRule="exact"/>
      <w:ind w:left="0" w:firstLine="880" w:firstLineChars="200"/>
    </w:pPr>
    <w:rPr>
      <w:rFonts w:hint="eastAsia" w:ascii="仿宋_GB2312" w:hAnsi="仿宋_GB2312" w:eastAsia="仿宋_GB2312" w:cs="仿宋_GB2312"/>
      <w:sz w:val="32"/>
      <w:szCs w:val="32"/>
    </w:rPr>
  </w:style>
  <w:style w:type="paragraph" w:customStyle="1" w:styleId="26">
    <w:name w:val="样式1"/>
    <w:basedOn w:val="1"/>
    <w:qFormat/>
    <w:uiPriority w:val="0"/>
    <w:pPr>
      <w:spacing w:line="600" w:lineRule="exact"/>
      <w:jc w:val="center"/>
    </w:pPr>
    <w:rPr>
      <w:rFonts w:hint="eastAsia" w:ascii="方正小标宋_GBK" w:hAnsi="方正小标宋_GBK" w:eastAsia="方正小标宋_GBK" w:cs="方正小标宋_GBK"/>
      <w:sz w:val="36"/>
      <w:szCs w:val="36"/>
    </w:rPr>
  </w:style>
  <w:style w:type="paragraph" w:customStyle="1" w:styleId="27">
    <w:name w:val="Body text|1"/>
    <w:basedOn w:val="1"/>
    <w:qFormat/>
    <w:uiPriority w:val="0"/>
    <w:pPr>
      <w:spacing w:line="408" w:lineRule="auto"/>
      <w:ind w:firstLine="400"/>
    </w:pPr>
    <w:rPr>
      <w:rFonts w:ascii="宋体" w:hAnsi="宋体" w:eastAsia="宋体" w:cs="宋体"/>
      <w:sz w:val="30"/>
      <w:szCs w:val="30"/>
      <w:lang w:val="zh-TW" w:eastAsia="zh-TW" w:bidi="zh-TW"/>
    </w:rPr>
  </w:style>
  <w:style w:type="character" w:customStyle="1" w:styleId="28">
    <w:name w:val="font01"/>
    <w:basedOn w:val="19"/>
    <w:qFormat/>
    <w:uiPriority w:val="0"/>
    <w:rPr>
      <w:rFonts w:hint="default" w:ascii="Wingdings 2" w:hAnsi="Wingdings 2" w:eastAsia="Wingdings 2" w:cs="Wingdings 2"/>
      <w:color w:val="000000"/>
      <w:sz w:val="22"/>
      <w:szCs w:val="22"/>
      <w:u w:val="none"/>
    </w:rPr>
  </w:style>
  <w:style w:type="character" w:customStyle="1" w:styleId="29">
    <w:name w:val="font31"/>
    <w:basedOn w:val="19"/>
    <w:qFormat/>
    <w:uiPriority w:val="0"/>
    <w:rPr>
      <w:rFonts w:hint="eastAsia" w:ascii="宋体" w:hAnsi="宋体" w:eastAsia="宋体" w:cs="宋体"/>
      <w:color w:val="000000"/>
      <w:sz w:val="22"/>
      <w:szCs w:val="22"/>
      <w:u w:val="none"/>
    </w:rPr>
  </w:style>
  <w:style w:type="character" w:customStyle="1" w:styleId="30">
    <w:name w:val="font61"/>
    <w:basedOn w:val="19"/>
    <w:qFormat/>
    <w:uiPriority w:val="0"/>
    <w:rPr>
      <w:rFonts w:ascii="Arial" w:hAnsi="Arial" w:cs="Arial"/>
      <w:color w:val="000000"/>
      <w:sz w:val="22"/>
      <w:szCs w:val="22"/>
      <w:u w:val="none"/>
    </w:rPr>
  </w:style>
  <w:style w:type="character" w:customStyle="1" w:styleId="31">
    <w:name w:val="font21"/>
    <w:basedOn w:val="19"/>
    <w:qFormat/>
    <w:uiPriority w:val="0"/>
    <w:rPr>
      <w:rFonts w:hint="eastAsia" w:ascii="宋体" w:hAnsi="宋体" w:eastAsia="宋体" w:cs="宋体"/>
      <w:color w:val="000000"/>
      <w:sz w:val="22"/>
      <w:szCs w:val="22"/>
      <w:u w:val="none"/>
    </w:rPr>
  </w:style>
  <w:style w:type="character" w:customStyle="1" w:styleId="32">
    <w:name w:val="font41"/>
    <w:basedOn w:val="19"/>
    <w:qFormat/>
    <w:uiPriority w:val="0"/>
    <w:rPr>
      <w:rFonts w:hint="eastAsia" w:ascii="宋体" w:hAnsi="宋体" w:eastAsia="宋体" w:cs="宋体"/>
      <w:color w:val="000000"/>
      <w:sz w:val="24"/>
      <w:szCs w:val="24"/>
      <w:u w:val="none"/>
    </w:rPr>
  </w:style>
  <w:style w:type="paragraph" w:customStyle="1" w:styleId="33">
    <w:name w:val="三级标题"/>
    <w:basedOn w:val="5"/>
    <w:qFormat/>
    <w:uiPriority w:val="0"/>
    <w:pPr>
      <w:ind w:firstLine="640"/>
    </w:pPr>
    <w:rPr>
      <w:rFonts w:hint="eastAsia" w:ascii="仿宋_GB2312" w:hAnsi="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6add4aee-d38d-4fc4-9b84-aff66e337201</errorID>
      <errorWord>，</errorWord>
      <group>L1_Word</group>
      <groupName>字词问题</groupName>
      <ability>L2_Typo</ability>
      <abilityName>字词错误</abilityName>
      <candidateList>
        <item>，在</item>
      </candidateList>
      <explain/>
      <paraID>21F94620</paraID>
      <start>44</start>
      <end>45</end>
      <status>unmodified</status>
      <modifiedWord/>
      <trackRevisions>false</trackRevisions>
    </reviewItem>
    <reviewItem>
      <errorID>64ac4c82-e791-42c3-8c22-341249b04d0e</errorID>
      <errorWord>晰</errorWord>
      <group>L1_Word</group>
      <groupName>字词问题</groupName>
      <ability>L2_Typo</ability>
      <abilityName>字词错误</abilityName>
      <candidateList>
        <item>晰地</item>
      </candidateList>
      <explain/>
      <paraID>68109F29</paraID>
      <start>27</start>
      <end>28</end>
      <status>unmodified</status>
      <modifiedWord/>
      <trackRevisions>false</trackRevisions>
    </reviewItem>
    <reviewItem>
      <errorID>772bccb2-ade9-4bc1-832e-584a7cce2b41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1629F0AE</paraID>
      <start>25</start>
      <end>27</end>
      <status>unmodified</status>
      <modifiedWord/>
      <trackRevisions>false</trackRevisions>
    </reviewItem>
    <reviewItem>
      <errorID>9489c52f-f0fd-40b9-8635-0c4eaa9f935f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2076FD85</paraID>
      <start>34</start>
      <end>36</end>
      <status>unmodified</status>
      <modifiedWord/>
      <trackRevisions>false</trackRevisions>
    </reviewItem>
    <reviewItem>
      <errorID>87c915ff-f60b-4466-876f-bef474b4aa6a</errorID>
      <errorWord>&gt;</errorWord>
      <group>L1_Punc</group>
      <groupName>标点问题</groupName>
      <ability>L2_Punc</ability>
      <abilityName>标点符号检查</abilityName>
      <candidateList/>
      <explain/>
      <paraID>1822A771</paraID>
      <start>0</start>
      <end>1</end>
      <status>unmodified</status>
      <modifiedWord/>
      <trackRevisions>false</trackRevisions>
    </reviewItem>
    <reviewItem>
      <errorID>e48b1920-302d-412b-8a47-2a951f8c0437</errorID>
      <errorWord>&gt;</errorWord>
      <group>L1_Punc</group>
      <groupName>标点问题</groupName>
      <ability>L2_Punc</ability>
      <abilityName>标点符号检查</abilityName>
      <candidateList/>
      <explain/>
      <paraID>6CB849C2</paraID>
      <start>0</start>
      <end>1</end>
      <status>unmodified</status>
      <modifiedWord/>
      <trackRevisions>false</trackRevisions>
    </reviewItem>
    <reviewItem>
      <errorID>538b7a8b-7e95-4f0c-a0e6-d764f4cc6308</errorID>
      <errorWord>值</errorWord>
      <group>L1_Word</group>
      <groupName>字词问题</groupName>
      <ability>L2_Typo</ability>
      <abilityName>字词错误</abilityName>
      <candidateList>
        <item>值低</item>
      </candidateList>
      <explain/>
      <paraID>786D342D</paraID>
      <start>41</start>
      <end>42</end>
      <status>unmodified</status>
      <modifiedWord/>
      <trackRevisions>false</trackRevisions>
    </reviewItem>
    <reviewItem>
      <errorID>bef0a47f-dab1-4a0b-b8b6-b01487b98405</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54C24553</paraID>
      <start>25</start>
      <end>27</end>
      <status>unmodified</status>
      <modifiedWord/>
      <trackRevisions>false</trackRevisions>
    </reviewItem>
    <reviewItem>
      <errorID>13a8de12-e1d3-46d3-8742-2d504a591934</errorID>
      <errorWord>，</errorWord>
      <group>L1_Word</group>
      <groupName>字词问题</groupName>
      <ability>L2_Typo</ability>
      <abilityName>字词错误</abilityName>
      <candidateList>
        <item>，在</item>
      </candidateList>
      <explain/>
      <paraID>2ABB7370</paraID>
      <start>50</start>
      <end>51</end>
      <status>unmodified</status>
      <modifiedWord/>
      <trackRevisions>false</trackRevisions>
    </reviewItem>
    <reviewItem>
      <errorID>aec49d7a-99c2-401e-bdc2-fc4fe6d211d9</errorID>
      <errorWord>值</errorWord>
      <group>L1_Word</group>
      <groupName>字词问题</groupName>
      <ability>L2_Typo</ability>
      <abilityName>字词错误</abilityName>
      <candidateList>
        <item>值低</item>
      </candidateList>
      <explain/>
      <paraID>12F0B0A9</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8b221-f1fd-40df-9de3-82ddd863ff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2579</Words>
  <Characters>2849</Characters>
  <Lines>60</Lines>
  <Paragraphs>17</Paragraphs>
  <TotalTime>2</TotalTime>
  <ScaleCrop>false</ScaleCrop>
  <LinksUpToDate>false</LinksUpToDate>
  <CharactersWithSpaces>2852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2024-05-13T07:52:00Z</dcterms:created>
  <dc:creator>芸溪</dc:creator>
  <cp:lastModifiedBy>exquisite</cp:lastModifiedBy>
  <cp:lastPrinted>2025-10-04T03:59:00Z</cp:lastPrinted>
  <dcterms:modified xsi:type="dcterms:W3CDTF">2025-12-18T07:44:04Z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ED26E767591F486584CC1D626EC7414C_13</vt:lpwstr>
  </property>
  <property fmtid="{D5CDD505-2E9C-101B-9397-08002B2CF9AE}" pid="4" name="commondata">
    <vt:lpwstr>eyJoZGlkIjoiNDcxNzFhZGEwY2ZmYWMzOGUzMDdiNjQwMDQ3ZjA2ODQifQ==</vt:lpwstr>
  </property>
  <property fmtid="{D5CDD505-2E9C-101B-9397-08002B2CF9AE}" pid="5" name="KSOTemplateDocerSaveRecord">
    <vt:lpwstr>eyJoZGlkIjoiZmIxMmRmYTA5NGU0NDQ0ZTlkMzRlNWJlNTFlZWI4MDUiLCJ1c2VySWQiOiI0MzIwMDYxOTQifQ==</vt:lpwstr>
  </property>
</Properties>
</file>