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29D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exact"/>
        <w:ind w:left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西乡县城市道路建设PPP项目</w:t>
      </w:r>
    </w:p>
    <w:p w14:paraId="432A75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exact"/>
        <w:ind w:left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绩效评价报告</w:t>
      </w:r>
    </w:p>
    <w:p w14:paraId="6E686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</w:p>
    <w:p w14:paraId="7380A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一、基本情况</w:t>
      </w:r>
    </w:p>
    <w:p w14:paraId="256E3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西乡县城市道路建设PPP项目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作为县域首个采用政府和社会资本合作（PPP）模式实施的基础设施工程，以完善县城中心城区路网结构、缓解部分路段交通拥堵、优化城市服务配套功能、提升城市宜居环境为核心目标，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推动县域城镇化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高质量发展提供坚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实支撑。</w:t>
      </w:r>
    </w:p>
    <w:p w14:paraId="19521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项目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于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2017年11月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开工建设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，分别完成迎宾大道、西环路、河滨北路、东二路、东环路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及四季河桥头广场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拓宽改造工程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项目完成总投资42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923.8万元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。</w:t>
      </w:r>
    </w:p>
    <w:p w14:paraId="0EE40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项目于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2018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年12月29日建成通车并进入运营阶段，运营期为13年，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由陕西庆华市政道路工程有限公司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承担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运营维护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职责，具体负责道路主体结构养护、交通设施维护、沿线绿化保洁工作。年度城市道路建养服务费为4,840.12万元，该费用</w:t>
      </w:r>
      <w:bookmarkStart w:id="2" w:name="_GoBack"/>
      <w:bookmarkEnd w:id="2"/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分为两部分，包括可用性服务费，主要用于覆盖项目投资回收；运营绩效服务费，与养护质量、服务效率等绩效指标挂钩，由西乡县住房和城乡建设管理局依据年度绩效考核结果核定支付。</w:t>
      </w:r>
    </w:p>
    <w:p w14:paraId="67ABB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2024年项目预算总额为2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700万元，实际到位资金2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700万元，资金到位率100%；实际支出2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700万元，预算执行率达100%。</w:t>
      </w:r>
    </w:p>
    <w:p w14:paraId="6B380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</w:p>
    <w:p w14:paraId="67DE5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二、综合评价结论</w:t>
      </w:r>
    </w:p>
    <w:p w14:paraId="16E9D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为确保评价科学性与规范性，本次绩效评价紧扣项目核心目标及绩效评价相关规定，以项目绩效自评表为基础依据，搭建 “决策-过程-产出-效益”四维指标体系，并细化形成三级指标评分标准，通过数据采集、问卷调查、实地访谈等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方式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，对项目绩效进行全面客观评价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。</w:t>
      </w:r>
    </w:p>
    <w:p w14:paraId="0B2A8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总体来看，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项目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围绕道路运营维护核心任务开展，决策层面，以《西乡县城市道路建设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PPP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协议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》《补充协议》及县政府决定事项为核心依据，立项程序合规，与县住建局道路运维职能高度匹配。产出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层面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完成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6047米道路全路段运维覆盖，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有效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保障城市道路基本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通行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功能，为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群众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日常出行提供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坚实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支撑。综合效益层面，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既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有效缓解县城交通瓶颈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优化区域交通格局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，又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通过绿化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养护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、洒水降尘等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举措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，切实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改善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大气与水环境质量，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提升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群众出行体验。总体来看，项目充分实现道路运维核心保障价值，但也存在资金使用不规范、管理</w:t>
      </w:r>
      <w:r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精细化程度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不足、效益</w:t>
      </w:r>
      <w:r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延伸空间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有限等问题，</w:t>
      </w:r>
      <w:r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亟待针对性改进完善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。</w:t>
      </w:r>
    </w:p>
    <w:p w14:paraId="17B4C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本次评价总得分为84.5分，综合评价等级为“良”。具体如下表：</w:t>
      </w:r>
    </w:p>
    <w:p w14:paraId="19872A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20"/>
        <w:textAlignment w:val="auto"/>
        <w:rPr>
          <w:rFonts w:hint="eastAsia" w:ascii="Times New Roman" w:hAnsi="Times New Roman"/>
          <w:lang w:val="en-US" w:eastAsia="zh-CN"/>
        </w:rPr>
      </w:pP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13"/>
        <w:gridCol w:w="2213"/>
        <w:gridCol w:w="2213"/>
        <w:gridCol w:w="2222"/>
      </w:tblGrid>
      <w:tr w14:paraId="5B24E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249" w:type="pct"/>
            <w:tcMar>
              <w:top w:w="10" w:type="dxa"/>
              <w:left w:w="10" w:type="dxa"/>
              <w:right w:w="10" w:type="dxa"/>
            </w:tcMar>
            <w:vAlign w:val="center"/>
          </w:tcPr>
          <w:p w14:paraId="00B91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一级指标</w:t>
            </w:r>
          </w:p>
        </w:tc>
        <w:tc>
          <w:tcPr>
            <w:tcW w:w="1249" w:type="pct"/>
            <w:tcMar>
              <w:top w:w="10" w:type="dxa"/>
              <w:left w:w="10" w:type="dxa"/>
              <w:right w:w="10" w:type="dxa"/>
            </w:tcMar>
            <w:vAlign w:val="center"/>
          </w:tcPr>
          <w:p w14:paraId="58B2F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分值</w:t>
            </w:r>
          </w:p>
        </w:tc>
        <w:tc>
          <w:tcPr>
            <w:tcW w:w="1249" w:type="pct"/>
            <w:tcMar>
              <w:top w:w="10" w:type="dxa"/>
              <w:left w:w="10" w:type="dxa"/>
              <w:right w:w="10" w:type="dxa"/>
            </w:tcMar>
            <w:vAlign w:val="center"/>
          </w:tcPr>
          <w:p w14:paraId="64F1D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得分</w:t>
            </w:r>
          </w:p>
        </w:tc>
        <w:tc>
          <w:tcPr>
            <w:tcW w:w="1253" w:type="pct"/>
            <w:tcMar>
              <w:top w:w="10" w:type="dxa"/>
              <w:left w:w="10" w:type="dxa"/>
              <w:right w:w="10" w:type="dxa"/>
            </w:tcMar>
            <w:vAlign w:val="center"/>
          </w:tcPr>
          <w:p w14:paraId="2C873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得分率</w:t>
            </w:r>
          </w:p>
        </w:tc>
      </w:tr>
      <w:tr w14:paraId="77E81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9" w:type="pct"/>
            <w:tcMar>
              <w:top w:w="10" w:type="dxa"/>
              <w:left w:w="10" w:type="dxa"/>
              <w:right w:w="10" w:type="dxa"/>
            </w:tcMar>
            <w:vAlign w:val="center"/>
          </w:tcPr>
          <w:p w14:paraId="31808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</w:rPr>
            </w:pPr>
            <w:bookmarkStart w:id="0" w:name="_Hlk215849277"/>
            <w:r>
              <w:rPr>
                <w:rFonts w:hint="eastAsia" w:ascii="Times New Roman" w:hAnsi="Times New Roman" w:eastAsia="仿宋" w:cs="仿宋"/>
                <w:sz w:val="24"/>
              </w:rPr>
              <w:t>决策</w:t>
            </w:r>
          </w:p>
        </w:tc>
        <w:tc>
          <w:tcPr>
            <w:tcW w:w="1249" w:type="pct"/>
            <w:tcMar>
              <w:top w:w="10" w:type="dxa"/>
              <w:left w:w="10" w:type="dxa"/>
              <w:right w:w="10" w:type="dxa"/>
            </w:tcMar>
            <w:vAlign w:val="center"/>
          </w:tcPr>
          <w:p w14:paraId="2B1FA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</w:rPr>
              <w:t>15</w:t>
            </w:r>
            <w:r>
              <w:rPr>
                <w:rFonts w:hint="eastAsia" w:ascii="Times New Roman" w:hAnsi="Times New Roman" w:eastAsia="方正仿宋_GB2312" w:cs="方正仿宋_GB2312"/>
                <w:sz w:val="24"/>
                <w:lang w:val="en-US" w:eastAsia="zh-CN"/>
              </w:rPr>
              <w:t>.00</w:t>
            </w:r>
          </w:p>
        </w:tc>
        <w:tc>
          <w:tcPr>
            <w:tcW w:w="1249" w:type="pct"/>
            <w:tcMar>
              <w:top w:w="10" w:type="dxa"/>
              <w:left w:w="10" w:type="dxa"/>
              <w:right w:w="10" w:type="dxa"/>
            </w:tcMar>
            <w:vAlign w:val="center"/>
          </w:tcPr>
          <w:p w14:paraId="786C0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</w:rPr>
              <w:t>13.5</w:t>
            </w:r>
            <w:r>
              <w:rPr>
                <w:rFonts w:hint="eastAsia" w:ascii="Times New Roman" w:hAnsi="Times New Roman" w:eastAsia="方正仿宋_GB2312" w:cs="方正仿宋_GB2312"/>
                <w:sz w:val="24"/>
                <w:lang w:val="en-US" w:eastAsia="zh-CN"/>
              </w:rPr>
              <w:t>0</w:t>
            </w:r>
          </w:p>
        </w:tc>
        <w:tc>
          <w:tcPr>
            <w:tcW w:w="1253" w:type="pct"/>
            <w:tcMar>
              <w:top w:w="10" w:type="dxa"/>
              <w:left w:w="10" w:type="dxa"/>
              <w:right w:w="10" w:type="dxa"/>
            </w:tcMar>
            <w:vAlign w:val="center"/>
          </w:tcPr>
          <w:p w14:paraId="62EEA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方正仿宋_GB2312" w:cs="方正仿宋_GB2312"/>
                <w:sz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</w:rPr>
              <w:t>90.00%</w:t>
            </w:r>
          </w:p>
        </w:tc>
      </w:tr>
      <w:tr w14:paraId="6CA41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9" w:type="pct"/>
            <w:tcMar>
              <w:top w:w="10" w:type="dxa"/>
              <w:left w:w="10" w:type="dxa"/>
              <w:right w:w="10" w:type="dxa"/>
            </w:tcMar>
            <w:vAlign w:val="center"/>
          </w:tcPr>
          <w:p w14:paraId="1E361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过程</w:t>
            </w:r>
          </w:p>
        </w:tc>
        <w:tc>
          <w:tcPr>
            <w:tcW w:w="1249" w:type="pct"/>
            <w:tcMar>
              <w:top w:w="10" w:type="dxa"/>
              <w:left w:w="10" w:type="dxa"/>
              <w:right w:w="10" w:type="dxa"/>
            </w:tcMar>
            <w:vAlign w:val="center"/>
          </w:tcPr>
          <w:p w14:paraId="1C69A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</w:rPr>
              <w:t>25</w:t>
            </w:r>
            <w:r>
              <w:rPr>
                <w:rFonts w:hint="eastAsia" w:ascii="Times New Roman" w:hAnsi="Times New Roman" w:eastAsia="方正仿宋_GB2312" w:cs="方正仿宋_GB2312"/>
                <w:sz w:val="24"/>
                <w:lang w:val="en-US" w:eastAsia="zh-CN"/>
              </w:rPr>
              <w:t>.00</w:t>
            </w:r>
          </w:p>
        </w:tc>
        <w:tc>
          <w:tcPr>
            <w:tcW w:w="1249" w:type="pct"/>
            <w:tcMar>
              <w:top w:w="10" w:type="dxa"/>
              <w:left w:w="10" w:type="dxa"/>
              <w:right w:w="10" w:type="dxa"/>
            </w:tcMar>
            <w:vAlign w:val="center"/>
          </w:tcPr>
          <w:p w14:paraId="1C62F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</w:rPr>
              <w:t>19.0</w:t>
            </w:r>
            <w:r>
              <w:rPr>
                <w:rFonts w:hint="eastAsia" w:ascii="Times New Roman" w:hAnsi="Times New Roman" w:eastAsia="方正仿宋_GB2312" w:cs="方正仿宋_GB2312"/>
                <w:sz w:val="24"/>
                <w:lang w:val="en-US" w:eastAsia="zh-CN"/>
              </w:rPr>
              <w:t>0</w:t>
            </w:r>
          </w:p>
        </w:tc>
        <w:tc>
          <w:tcPr>
            <w:tcW w:w="1253" w:type="pct"/>
            <w:tcMar>
              <w:top w:w="10" w:type="dxa"/>
              <w:left w:w="10" w:type="dxa"/>
              <w:right w:w="10" w:type="dxa"/>
            </w:tcMar>
            <w:vAlign w:val="center"/>
          </w:tcPr>
          <w:p w14:paraId="1C185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方正仿宋_GB2312" w:cs="方正仿宋_GB2312"/>
                <w:sz w:val="24"/>
              </w:rPr>
            </w:pPr>
            <w:bookmarkStart w:id="1" w:name="OLE_LINK9"/>
            <w:r>
              <w:rPr>
                <w:rFonts w:hint="eastAsia" w:ascii="Times New Roman" w:hAnsi="Times New Roman" w:eastAsia="方正仿宋_GB2312" w:cs="方正仿宋_GB2312"/>
                <w:sz w:val="24"/>
              </w:rPr>
              <w:t>76.00%</w:t>
            </w:r>
            <w:bookmarkEnd w:id="1"/>
          </w:p>
        </w:tc>
      </w:tr>
      <w:tr w14:paraId="5AF4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9" w:type="pct"/>
            <w:tcMar>
              <w:top w:w="10" w:type="dxa"/>
              <w:left w:w="10" w:type="dxa"/>
              <w:right w:w="10" w:type="dxa"/>
            </w:tcMar>
            <w:vAlign w:val="center"/>
          </w:tcPr>
          <w:p w14:paraId="6F2EA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产出</w:t>
            </w:r>
          </w:p>
        </w:tc>
        <w:tc>
          <w:tcPr>
            <w:tcW w:w="1249" w:type="pct"/>
            <w:tcMar>
              <w:top w:w="10" w:type="dxa"/>
              <w:left w:w="10" w:type="dxa"/>
              <w:right w:w="10" w:type="dxa"/>
            </w:tcMar>
            <w:vAlign w:val="center"/>
          </w:tcPr>
          <w:p w14:paraId="6ADF3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</w:rPr>
              <w:t>35</w:t>
            </w:r>
            <w:r>
              <w:rPr>
                <w:rFonts w:hint="eastAsia" w:ascii="Times New Roman" w:hAnsi="Times New Roman" w:eastAsia="方正仿宋_GB2312" w:cs="方正仿宋_GB2312"/>
                <w:sz w:val="24"/>
                <w:lang w:val="en-US" w:eastAsia="zh-CN"/>
              </w:rPr>
              <w:t>.00</w:t>
            </w:r>
          </w:p>
        </w:tc>
        <w:tc>
          <w:tcPr>
            <w:tcW w:w="1249" w:type="pct"/>
            <w:tcMar>
              <w:top w:w="10" w:type="dxa"/>
              <w:left w:w="10" w:type="dxa"/>
              <w:right w:w="10" w:type="dxa"/>
            </w:tcMar>
            <w:vAlign w:val="center"/>
          </w:tcPr>
          <w:p w14:paraId="116B5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</w:rPr>
              <w:t>30.0</w:t>
            </w:r>
            <w:r>
              <w:rPr>
                <w:rFonts w:hint="eastAsia" w:ascii="Times New Roman" w:hAnsi="Times New Roman" w:eastAsia="方正仿宋_GB2312" w:cs="方正仿宋_GB2312"/>
                <w:sz w:val="24"/>
                <w:lang w:val="en-US" w:eastAsia="zh-CN"/>
              </w:rPr>
              <w:t>0</w:t>
            </w:r>
          </w:p>
        </w:tc>
        <w:tc>
          <w:tcPr>
            <w:tcW w:w="1253" w:type="pct"/>
            <w:tcMar>
              <w:top w:w="10" w:type="dxa"/>
              <w:left w:w="10" w:type="dxa"/>
              <w:right w:w="10" w:type="dxa"/>
            </w:tcMar>
            <w:vAlign w:val="center"/>
          </w:tcPr>
          <w:p w14:paraId="5E50C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方正仿宋_GB2312" w:cs="方正仿宋_GB2312"/>
                <w:sz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</w:rPr>
              <w:t>85.71%</w:t>
            </w:r>
          </w:p>
        </w:tc>
      </w:tr>
      <w:tr w14:paraId="62BD5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9" w:type="pct"/>
            <w:tcMar>
              <w:top w:w="10" w:type="dxa"/>
              <w:left w:w="10" w:type="dxa"/>
              <w:right w:w="10" w:type="dxa"/>
            </w:tcMar>
            <w:vAlign w:val="center"/>
          </w:tcPr>
          <w:p w14:paraId="74D6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效益</w:t>
            </w:r>
          </w:p>
        </w:tc>
        <w:tc>
          <w:tcPr>
            <w:tcW w:w="1249" w:type="pct"/>
            <w:tcMar>
              <w:top w:w="10" w:type="dxa"/>
              <w:left w:w="10" w:type="dxa"/>
              <w:right w:w="10" w:type="dxa"/>
            </w:tcMar>
            <w:vAlign w:val="center"/>
          </w:tcPr>
          <w:p w14:paraId="576F8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</w:rPr>
              <w:t>25</w:t>
            </w:r>
            <w:r>
              <w:rPr>
                <w:rFonts w:hint="eastAsia" w:ascii="Times New Roman" w:hAnsi="Times New Roman" w:eastAsia="方正仿宋_GB2312" w:cs="方正仿宋_GB2312"/>
                <w:sz w:val="24"/>
                <w:lang w:val="en-US" w:eastAsia="zh-CN"/>
              </w:rPr>
              <w:t>.00</w:t>
            </w:r>
          </w:p>
        </w:tc>
        <w:tc>
          <w:tcPr>
            <w:tcW w:w="1249" w:type="pct"/>
            <w:tcMar>
              <w:top w:w="10" w:type="dxa"/>
              <w:left w:w="10" w:type="dxa"/>
              <w:right w:w="10" w:type="dxa"/>
            </w:tcMar>
            <w:vAlign w:val="center"/>
          </w:tcPr>
          <w:p w14:paraId="6D28D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</w:rPr>
              <w:t>22.0</w:t>
            </w:r>
            <w:r>
              <w:rPr>
                <w:rFonts w:hint="eastAsia" w:ascii="Times New Roman" w:hAnsi="Times New Roman" w:eastAsia="方正仿宋_GB2312" w:cs="方正仿宋_GB2312"/>
                <w:sz w:val="24"/>
                <w:lang w:val="en-US" w:eastAsia="zh-CN"/>
              </w:rPr>
              <w:t>0</w:t>
            </w:r>
          </w:p>
        </w:tc>
        <w:tc>
          <w:tcPr>
            <w:tcW w:w="1253" w:type="pct"/>
            <w:tcMar>
              <w:top w:w="10" w:type="dxa"/>
              <w:left w:w="10" w:type="dxa"/>
              <w:right w:w="10" w:type="dxa"/>
            </w:tcMar>
            <w:vAlign w:val="center"/>
          </w:tcPr>
          <w:p w14:paraId="539A5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方正仿宋_GB2312" w:cs="方正仿宋_GB2312"/>
                <w:sz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</w:rPr>
              <w:t>88.0</w:t>
            </w:r>
            <w:r>
              <w:rPr>
                <w:rFonts w:hint="eastAsia" w:ascii="Times New Roman" w:hAnsi="Times New Roman" w:eastAsia="方正仿宋_GB2312" w:cs="方正仿宋_GB2312"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2312" w:cs="方正仿宋_GB2312"/>
                <w:sz w:val="24"/>
              </w:rPr>
              <w:t>%</w:t>
            </w:r>
          </w:p>
        </w:tc>
      </w:tr>
      <w:bookmarkEnd w:id="0"/>
      <w:tr w14:paraId="3AF1C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9" w:type="pct"/>
            <w:tcMar>
              <w:top w:w="10" w:type="dxa"/>
              <w:left w:w="10" w:type="dxa"/>
              <w:right w:w="10" w:type="dxa"/>
            </w:tcMar>
            <w:vAlign w:val="center"/>
          </w:tcPr>
          <w:p w14:paraId="143ED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合计</w:t>
            </w:r>
          </w:p>
        </w:tc>
        <w:tc>
          <w:tcPr>
            <w:tcW w:w="1249" w:type="pct"/>
            <w:tcMar>
              <w:top w:w="10" w:type="dxa"/>
              <w:left w:w="10" w:type="dxa"/>
              <w:right w:w="10" w:type="dxa"/>
            </w:tcMar>
            <w:vAlign w:val="center"/>
          </w:tcPr>
          <w:p w14:paraId="4A44C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</w:rPr>
              <w:t>100</w:t>
            </w:r>
            <w:r>
              <w:rPr>
                <w:rFonts w:hint="eastAsia" w:ascii="Times New Roman" w:hAnsi="Times New Roman" w:eastAsia="方正仿宋_GB2312" w:cs="方正仿宋_GB2312"/>
                <w:sz w:val="24"/>
                <w:lang w:val="en-US" w:eastAsia="zh-CN"/>
              </w:rPr>
              <w:t>.00</w:t>
            </w:r>
          </w:p>
        </w:tc>
        <w:tc>
          <w:tcPr>
            <w:tcW w:w="1249" w:type="pct"/>
            <w:tcMar>
              <w:top w:w="10" w:type="dxa"/>
              <w:left w:w="10" w:type="dxa"/>
              <w:right w:w="10" w:type="dxa"/>
            </w:tcMar>
            <w:vAlign w:val="center"/>
          </w:tcPr>
          <w:p w14:paraId="4B722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</w:rPr>
              <w:t>84.5</w:t>
            </w:r>
            <w:r>
              <w:rPr>
                <w:rFonts w:hint="eastAsia" w:ascii="Times New Roman" w:hAnsi="Times New Roman" w:eastAsia="方正仿宋_GB2312" w:cs="方正仿宋_GB2312"/>
                <w:sz w:val="24"/>
                <w:lang w:val="en-US" w:eastAsia="zh-CN"/>
              </w:rPr>
              <w:t>0</w:t>
            </w:r>
          </w:p>
        </w:tc>
        <w:tc>
          <w:tcPr>
            <w:tcW w:w="1253" w:type="pct"/>
            <w:tcMar>
              <w:top w:w="10" w:type="dxa"/>
              <w:left w:w="10" w:type="dxa"/>
              <w:right w:w="10" w:type="dxa"/>
            </w:tcMar>
            <w:vAlign w:val="center"/>
          </w:tcPr>
          <w:p w14:paraId="76126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方正仿宋_GB2312" w:cs="方正仿宋_GB2312"/>
                <w:sz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</w:rPr>
              <w:t>84.5</w:t>
            </w:r>
            <w:r>
              <w:rPr>
                <w:rFonts w:hint="eastAsia" w:ascii="Times New Roman" w:hAnsi="Times New Roman" w:eastAsia="方正仿宋_GB2312" w:cs="方正仿宋_GB2312"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2312" w:cs="方正仿宋_GB2312"/>
                <w:sz w:val="24"/>
              </w:rPr>
              <w:t>%</w:t>
            </w:r>
          </w:p>
        </w:tc>
      </w:tr>
      <w:tr w14:paraId="33594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 w14:paraId="3C877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方正仿宋_GB2312" w:cs="方正仿宋_GB2312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绩效评价得分：84.5</w:t>
            </w:r>
            <w:r>
              <w:rPr>
                <w:rFonts w:hint="eastAsia" w:ascii="Times New Roman" w:hAnsi="Times New Roman" w:eastAsia="仿宋" w:cs="仿宋"/>
                <w:b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 xml:space="preserve">   综合评价结果等级：良</w:t>
            </w:r>
          </w:p>
        </w:tc>
      </w:tr>
    </w:tbl>
    <w:p w14:paraId="7F148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</w:p>
    <w:p w14:paraId="46998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四、主要经验及做法</w:t>
      </w:r>
    </w:p>
    <w:p w14:paraId="672EF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（一）规划引领精准对接运维需求</w:t>
      </w:r>
    </w:p>
    <w:p w14:paraId="7CC74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严格依据道路运维相关规划及政策文件，以保障道路长期稳定运行、持续服务公众出行为核心目标，结合道路使用频率、路况特点及公众出行需求，明确运维工作重点方向与实施标准，确保运维工作贴合道路实际状况和公众出行需求，推动道路长期高效服务于公众出行和区域发展。</w:t>
      </w:r>
    </w:p>
    <w:p w14:paraId="34B92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（二）多维管控提升运维管理质效</w:t>
      </w:r>
    </w:p>
    <w:p w14:paraId="2151D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积极整合人力、物力、技术等各类资源，为道路日常养护、故障排查与修复等工作提供全面支撑。对日常巡查、养护作业、应急处置实施全方位管理，保障运维工作规范有序开展。</w:t>
      </w:r>
    </w:p>
    <w:p w14:paraId="057FD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（三）聚焦核心筑牢服务保障根基</w:t>
      </w:r>
    </w:p>
    <w:p w14:paraId="6518D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以保障道路持续安全、顺畅服务公众出行为核心任务，在运维实施过程中，聚焦道路设施稳定性与通行可靠性，严格遵循运维标准规范，确保道路及附属设施始终处于良好运行状态，有效遏制道路病害发展、防范安全隐患滋生，切实为公众出行安全和区域交通平稳运行提供坚实保障。</w:t>
      </w:r>
    </w:p>
    <w:p w14:paraId="6859C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五、存在的问题</w:t>
      </w:r>
    </w:p>
    <w:p w14:paraId="78745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（一）绩效目标设定与管理不完善</w:t>
      </w:r>
    </w:p>
    <w:p w14:paraId="06496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部分绩效目标设定不够具体清晰，个别效益类指标，如“有效解决交通瓶颈”“促进区域经济发展”，缺乏细化量化的衡量标准，未明确“有效解决”的具体成效、“促进”的量化依据，导致无法精准判定目标完成情况。</w:t>
      </w:r>
    </w:p>
    <w:p w14:paraId="30EDF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（二）项目资金管理存在短板</w:t>
      </w:r>
    </w:p>
    <w:p w14:paraId="4498A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一是运维费用存在资金缺口：运维外包方西乡县庆华物业管理有限责任公司发生运营维护费用215.87万元，而运维承担方仅拨付费用120万元，资金缺口达95.87万元；二是资金支出佐证资料不完善，运维承担方陕西庆华市政道路工程有限公司在工程款支付、管理人员薪酬、项目建设前期费、外派技术人员住宿费用等方面的支出，均缺少完整佐证资料。同时，运维外包方西乡县庆华物业管理有限责任公司提供资料中，工资支出132.96万元（全年平均43人），通过查阅人员工资表，参与人员仅为21人，工资支出仅为66.47万元。</w:t>
      </w:r>
    </w:p>
    <w:p w14:paraId="71A27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（三）运维制度建设与执行不到位</w:t>
      </w:r>
    </w:p>
    <w:p w14:paraId="7EE05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一是未建立运营维护质量控制的具体措施和制度；二是过程管理不规范，运营维护项目实际开展情况未按协议要求详细记录，未按季度开展运维绩效考核，未按要求实施项目中期评估；三是外包管理不规范，将运维服务转包给西乡县庆华物业管理有限责任公司，但未按规定办理备案手续，且未按协议要求购买运营期间保险。</w:t>
      </w:r>
    </w:p>
    <w:p w14:paraId="5D906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（四）效益量化与就业带动成效不足</w:t>
      </w:r>
    </w:p>
    <w:p w14:paraId="63E08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经济效益与可持续影响效益缺乏量化数据支撑，如“解决交通瓶颈”指标，未说明交通流量提升幅度、拥堵时长减少比例等量化依据；“促进区域经济协同发展”指标，未提及招商引资数量、投资额增长等佐证数据；同时，就业带动效果未达预期，项目绩效目标设定运维拉动就业人数超50人，但实际仅为21人，与目标值差距较大。</w:t>
      </w:r>
    </w:p>
    <w:p w14:paraId="4E521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六、有关建议</w:t>
      </w:r>
    </w:p>
    <w:p w14:paraId="2302B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（一）完善绩效目标设定与管理体系</w:t>
      </w:r>
    </w:p>
    <w:p w14:paraId="18681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exact"/>
        <w:ind w:leftChars="0" w:firstLine="640" w:firstLineChars="200"/>
        <w:textAlignment w:val="auto"/>
        <w:outlineLvl w:val="9"/>
        <w:rPr>
          <w:rFonts w:hint="eastAsia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一是细化绩效目标与衡量标准，将“解决交通瓶颈”“促进区域经济发展”等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定性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模糊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指标，转化为可量化、可考核的具体指标，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同步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明确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各项指标的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数据统计口径与计算方法。二是健全指标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全流程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管理规则，补充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完善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绩效指标评审流程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与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指标值动态调整机制，定期核查目标完成进度，确保绩效目标始终为项目实施提供清晰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指引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，为后续评价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奠定精准对标基础。</w:t>
      </w:r>
    </w:p>
    <w:p w14:paraId="79BDE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楷体" w:cs="楷体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（二）强化资金管理，保障资金安全高效使用</w:t>
      </w:r>
    </w:p>
    <w:p w14:paraId="77FE7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规范资金支付与核算管理，补齐第三方运维单位费用缺口，保障运维工作平稳推进。建立“支出必留痕”管控制度，明确要求所有资金支出附带合同、发票、银行回单、项目验收报告等完整佐证资料，确保每笔支出有据可查。定期组织开展资金使用合规性核查，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切实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防范资金滥用风险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。</w:t>
      </w:r>
    </w:p>
    <w:p w14:paraId="5F33F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（三）健全运营维护制度，规范运维全流程</w:t>
      </w:r>
    </w:p>
    <w:p w14:paraId="40134A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exact"/>
        <w:ind w:leftChars="0" w:firstLine="640" w:firstLineChars="200"/>
        <w:textAlignment w:val="auto"/>
        <w:outlineLvl w:val="9"/>
        <w:rPr>
          <w:rFonts w:hint="eastAsia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一是制定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完善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运维质量控制细则，明确道路巡查频次、病害修复标准、设施养护周期等具体要求，针对沥青泛油、路面积水等常见问题，建立专项处置流程，确保运维工作有章可循。二是严格落实运维过程管理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要求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，按协议要求记录运维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详情、提交运营报告、定期开展中期评估与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运维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绩效考核，对发现的问题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建立整改台账并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实行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闭环管理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规范外包流程，及时为转包运维服务办理备案手续，督促相关方按要求购买运营保险，降低项目风险。</w:t>
      </w:r>
    </w:p>
    <w:p w14:paraId="51574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（四）加强效益量化统计，提升项目社会价值</w:t>
      </w:r>
    </w:p>
    <w:p w14:paraId="158E63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exact"/>
        <w:ind w:leftChars="0" w:firstLine="640" w:firstLineChars="200"/>
        <w:textAlignment w:val="auto"/>
        <w:outlineLvl w:val="9"/>
        <w:rPr>
          <w:rFonts w:ascii="Times New Roman" w:hAnsi="Times New Roman" w:eastAsia="方正仿宋_GB2312" w:cs="方正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一是建立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健全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效益数据跟踪体系，定期统计交通流量、拥堵时长、招商引资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数量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、区域经济增长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幅度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等数据，形成量化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分析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报告，精准展现项目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经济效益与可持续影响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效益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，便于向社会公众与上级部门直观呈现项目价值。二是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着力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扩大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就业带动效应，联合运维单位与当地人社部门，制定就业岗位开发计划，优先吸纳本地劳动力，通过技能培训等方式提升人员适配度，确保运维岗位数量达到预期目标，充分发挥项目在稳就业、惠民生方面的社会服务价值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7903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4EA36A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4EA36A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510FBD"/>
    <w:rsid w:val="003F2BD4"/>
    <w:rsid w:val="009E620B"/>
    <w:rsid w:val="00A50D4F"/>
    <w:rsid w:val="00C444C6"/>
    <w:rsid w:val="00EF1E50"/>
    <w:rsid w:val="0822060B"/>
    <w:rsid w:val="08510FBD"/>
    <w:rsid w:val="097B33B0"/>
    <w:rsid w:val="0F396E75"/>
    <w:rsid w:val="34232E92"/>
    <w:rsid w:val="37384246"/>
    <w:rsid w:val="3FBB42DE"/>
    <w:rsid w:val="453C0645"/>
    <w:rsid w:val="4E926A5A"/>
    <w:rsid w:val="5FB955C0"/>
    <w:rsid w:val="68A42310"/>
    <w:rsid w:val="728C3401"/>
    <w:rsid w:val="7399224D"/>
    <w:rsid w:val="73D752BB"/>
    <w:rsid w:val="74C33ED6"/>
    <w:rsid w:val="7746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unhideWhenUsed/>
    <w:qFormat/>
    <w:uiPriority w:val="99"/>
    <w:pPr>
      <w:ind w:firstLine="540"/>
    </w:pPr>
    <w:rPr>
      <w:rFonts w:ascii="仿宋_GB2312" w:eastAsia="仿宋_GB2312"/>
      <w:sz w:val="28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2749</Words>
  <Characters>2914</Characters>
  <Lines>103</Lines>
  <Paragraphs>73</Paragraphs>
  <TotalTime>6</TotalTime>
  <ScaleCrop>false</ScaleCrop>
  <LinksUpToDate>false</LinksUpToDate>
  <CharactersWithSpaces>2918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2025-12-08T08:47:00Z</dcterms:created>
  <dc:creator>梅</dc:creator>
  <cp:lastModifiedBy>exquisite</cp:lastModifiedBy>
  <dcterms:modified xsi:type="dcterms:W3CDTF">2025-12-22T00:31:09Z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9C90BC3E8C5F45B58CA7F4BB4608920E_13</vt:lpwstr>
  </property>
  <property fmtid="{D5CDD505-2E9C-101B-9397-08002B2CF9AE}" pid="4" name="KSOTemplateDocerSaveRecord">
    <vt:lpwstr>eyJoZGlkIjoiZmIxMmRmYTA5NGU0NDQ0ZTlkMzRlNWJlNTFlZWI4MDUiLCJ1c2VySWQiOiI0MzIwMDYxOTQifQ==</vt:lpwstr>
  </property>
</Properties>
</file>