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69791">
      <w:pPr>
        <w:keepNext w:val="0"/>
        <w:pageBreakBefore w:val="0"/>
        <w:kinsoku/>
        <w:wordWrap/>
        <w:topLinePunct w:val="0"/>
        <w:autoSpaceDE/>
        <w:autoSpaceDN/>
        <w:bidi w:val="0"/>
        <w:snapToGrid/>
        <w:spacing w:line="578" w:lineRule="exact"/>
        <w:ind w:left="0" w:leftChars="0" w:firstLine="0" w:firstLineChars="0"/>
        <w:jc w:val="center"/>
        <w:rPr>
          <w:rFonts w:hint="eastAsia" w:ascii="Times New Roman" w:hAnsi="Times New Roman" w:eastAsia="方正小标宋简体" w:cs="方正小标宋简体"/>
          <w:sz w:val="44"/>
          <w:szCs w:val="44"/>
          <w:lang w:val="en-US" w:eastAsia="zh-CN"/>
        </w:rPr>
      </w:pPr>
      <w:r>
        <w:rPr>
          <w:rFonts w:hint="eastAsia" w:ascii="Times New Roman" w:hAnsi="Times New Roman" w:eastAsia="方正小标宋简体" w:cs="方正小标宋简体"/>
          <w:sz w:val="44"/>
          <w:szCs w:val="44"/>
          <w:lang w:val="en-US" w:eastAsia="zh-CN"/>
        </w:rPr>
        <w:t>西乡县现代农业机械智能制造产业园建设项目绩效评价报告</w:t>
      </w:r>
    </w:p>
    <w:p w14:paraId="6D810D8D">
      <w:pPr>
        <w:keepNext w:val="0"/>
        <w:keepLines w:val="0"/>
        <w:pageBreakBefore w:val="0"/>
        <w:widowControl w:val="0"/>
        <w:kinsoku/>
        <w:wordWrap/>
        <w:overflowPunct/>
        <w:topLinePunct w:val="0"/>
        <w:autoSpaceDE/>
        <w:autoSpaceDN/>
        <w:bidi w:val="0"/>
        <w:adjustRightInd/>
        <w:snapToGrid/>
        <w:spacing w:line="200" w:lineRule="exact"/>
        <w:textAlignment w:val="auto"/>
        <w:outlineLvl w:val="9"/>
        <w:rPr>
          <w:rFonts w:hint="eastAsia" w:ascii="Times New Roman" w:hAnsi="Times New Roman" w:eastAsia="黑体" w:cs="黑体"/>
          <w:sz w:val="32"/>
          <w:szCs w:val="32"/>
          <w:highlight w:val="none"/>
        </w:rPr>
      </w:pPr>
    </w:p>
    <w:p w14:paraId="29F42E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ascii="Times New Roman" w:hAnsi="Times New Roman" w:eastAsia="黑体" w:cs="黑体"/>
          <w:sz w:val="32"/>
          <w:szCs w:val="32"/>
          <w:highlight w:val="none"/>
        </w:rPr>
      </w:pPr>
      <w:r>
        <w:rPr>
          <w:rFonts w:hint="eastAsia" w:ascii="Times New Roman" w:hAnsi="Times New Roman" w:eastAsia="黑体" w:cs="黑体"/>
          <w:sz w:val="32"/>
          <w:szCs w:val="32"/>
          <w:highlight w:val="none"/>
        </w:rPr>
        <w:t>一、基本情况</w:t>
      </w:r>
    </w:p>
    <w:p w14:paraId="11D5FF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根据《西乡县发展和改革局关于西乡县现代农业机械智能制造产业园建设项目可行性研究报告的批复》（西发改产业〔2023〕276号）及《西乡县发展和改革局关于西乡县现代农业机械智能制造产业园建设项目工程初步设计的批复》（西发改产业〔2023〕323号），西乡县现代农业机械智能制造产业园建设项目拟规划用地34.76亩。新建厂房18592.25㎡（其中：1号厂房7578㎡、2号厂房4211.75㎡、3号厂房4984.5㎡、4号厂房1818㎡），公厕及垃圾中转站38㎡，门卫38㎡、消防水池225㎡；配套建设停车场、场地硬化、绿化、水渠治理、给排水、供配电、消防等基础配套设施。</w:t>
      </w:r>
    </w:p>
    <w:p w14:paraId="7DB4F6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经评价组实地查看，截至2025年6月，产业园建设项目中1号、2号及4号厂房已基本建设完工，尚未完成验收并投入运营；3号厂房已完成地基施工，目前正处于主体结构施工阶段，预计将于2025年10月底竣工。</w:t>
      </w:r>
    </w:p>
    <w:p w14:paraId="307C6C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截至评价日，西乡县现代农业机械智能制造产业园建设项目共收到专项债资金3,800.00万元、苏陕资金1,485万元，项目总支出4,831.19万元。</w:t>
      </w:r>
    </w:p>
    <w:p w14:paraId="5B2F6C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ascii="Times New Roman" w:hAnsi="Times New Roman" w:eastAsia="黑体" w:cs="黑体"/>
          <w:sz w:val="32"/>
          <w:szCs w:val="32"/>
          <w:highlight w:val="none"/>
        </w:rPr>
      </w:pPr>
      <w:r>
        <w:rPr>
          <w:rFonts w:hint="eastAsia" w:ascii="Times New Roman" w:hAnsi="Times New Roman" w:eastAsia="黑体" w:cs="黑体"/>
          <w:sz w:val="32"/>
          <w:szCs w:val="32"/>
          <w:highlight w:val="none"/>
        </w:rPr>
        <w:t>二、综合评价结论</w:t>
      </w:r>
    </w:p>
    <w:p w14:paraId="6F51F1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“西乡县现代农业机械智能制造产业园建设项目”绩效评价综合得分“67.02”分，综合评价结果等级为“C”。</w:t>
      </w:r>
    </w:p>
    <w:p w14:paraId="79136C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评价组严格依据绩效评价相关规定，围绕决策、管理、产出</w:t>
      </w:r>
      <w:bookmarkStart w:id="28" w:name="_GoBack"/>
      <w:bookmarkEnd w:id="28"/>
      <w:r>
        <w:rPr>
          <w:rFonts w:hint="eastAsia" w:ascii="Times New Roman" w:hAnsi="Times New Roman" w:eastAsia="仿宋_GB2312" w:cs="仿宋_GB2312"/>
          <w:kern w:val="2"/>
          <w:sz w:val="32"/>
          <w:szCs w:val="32"/>
          <w:lang w:val="en-US" w:eastAsia="zh-CN" w:bidi="ar-SA"/>
        </w:rPr>
        <w:t>和效益四大核心维度，对项目开展全周期、多维度综合评价。决策方面，项目立项依据充分，程序较为规范，绩效目标设置的经济效益预期过高，部分绩效指标设置科学性不足。管理方面，</w:t>
      </w:r>
      <w:r>
        <w:rPr>
          <w:rFonts w:hint="default" w:ascii="Times New Roman" w:hAnsi="Times New Roman" w:eastAsia="仿宋_GB2312" w:cs="仿宋_GB2312"/>
          <w:kern w:val="2"/>
          <w:sz w:val="32"/>
          <w:szCs w:val="32"/>
          <w:lang w:val="en-US" w:eastAsia="zh-CN" w:bidi="ar-SA"/>
        </w:rPr>
        <w:t>专项债券项目所属领域与专项债券支持领域及方向一致</w:t>
      </w:r>
      <w:r>
        <w:rPr>
          <w:rFonts w:hint="eastAsia" w:ascii="Times New Roman" w:hAnsi="Times New Roman" w:eastAsia="仿宋_GB2312" w:cs="仿宋_GB2312"/>
          <w:kern w:val="2"/>
          <w:sz w:val="32"/>
          <w:szCs w:val="32"/>
          <w:lang w:val="en-US" w:eastAsia="zh-CN" w:bidi="ar-SA"/>
        </w:rPr>
        <w:t>，专项债资金支出较为规范，但是存在项目未按期向同级财政缴纳应偿还的专项债利息、自筹资金到位率不足、项目收入及成本预期收益合理性不足、缺少工程建设项目管理制度、项目施工进度慢等问题。产出方面，项目主体工程3号楼尚未建设完毕，已建设完成厂房尚未验收，项目整体竣工时间延后。效益方面，建设期间</w:t>
      </w:r>
      <w:r>
        <w:rPr>
          <w:rFonts w:hint="default" w:ascii="Times New Roman" w:hAnsi="Times New Roman" w:eastAsia="仿宋_GB2312" w:cs="仿宋_GB2312"/>
          <w:kern w:val="2"/>
          <w:sz w:val="32"/>
          <w:szCs w:val="32"/>
          <w:lang w:val="en-US" w:eastAsia="zh-CN" w:bidi="ar-SA"/>
        </w:rPr>
        <w:t>未发生重大安全生产事故，同时带动部分</w:t>
      </w:r>
      <w:r>
        <w:rPr>
          <w:rFonts w:hint="eastAsia" w:ascii="Times New Roman" w:hAnsi="Times New Roman" w:eastAsia="仿宋_GB2312" w:cs="仿宋_GB2312"/>
          <w:kern w:val="2"/>
          <w:sz w:val="32"/>
          <w:szCs w:val="32"/>
          <w:lang w:val="en-US" w:eastAsia="zh-CN" w:bidi="ar-SA"/>
        </w:rPr>
        <w:t>农民工就业增收。但园区运营机制尚未完善，影响项目后期管理的可持续性。具体详见表2-1：</w:t>
      </w:r>
    </w:p>
    <w:p w14:paraId="755E0235">
      <w:pPr>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jc w:val="center"/>
        <w:textAlignment w:val="auto"/>
        <w:outlineLvl w:val="9"/>
        <w:rPr>
          <w:rFonts w:hint="eastAsia" w:ascii="Times New Roman" w:hAnsi="Times New Roman" w:eastAsia="仿宋_GB2312" w:cs="仿宋_GB2312"/>
          <w:b/>
          <w:bCs/>
          <w:color w:val="auto"/>
          <w:sz w:val="28"/>
          <w:szCs w:val="28"/>
          <w:highlight w:val="none"/>
          <w:u w:val="none"/>
        </w:rPr>
      </w:pPr>
    </w:p>
    <w:p w14:paraId="38142B7B">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eastAsia" w:ascii="Times New Roman" w:hAnsi="Times New Roman" w:eastAsia="仿宋_GB2312" w:cs="仿宋_GB2312"/>
          <w:b/>
          <w:bCs/>
          <w:color w:val="auto"/>
          <w:sz w:val="28"/>
          <w:szCs w:val="28"/>
          <w:highlight w:val="none"/>
          <w:u w:val="none"/>
        </w:rPr>
      </w:pPr>
      <w:r>
        <w:rPr>
          <w:rFonts w:hint="eastAsia" w:ascii="Times New Roman" w:hAnsi="Times New Roman" w:eastAsia="仿宋_GB2312" w:cs="仿宋_GB2312"/>
          <w:b/>
          <w:bCs/>
          <w:color w:val="auto"/>
          <w:sz w:val="28"/>
          <w:szCs w:val="28"/>
          <w:highlight w:val="none"/>
          <w:u w:val="none"/>
        </w:rPr>
        <w:t>表</w:t>
      </w:r>
      <w:r>
        <w:rPr>
          <w:rFonts w:hint="eastAsia" w:ascii="Times New Roman" w:hAnsi="Times New Roman" w:eastAsia="仿宋_GB2312" w:cs="仿宋_GB2312"/>
          <w:b/>
          <w:bCs/>
          <w:color w:val="auto"/>
          <w:sz w:val="28"/>
          <w:szCs w:val="28"/>
          <w:highlight w:val="none"/>
          <w:u w:val="none"/>
          <w:lang w:val="en-US" w:eastAsia="zh-CN"/>
        </w:rPr>
        <w:t>2</w:t>
      </w:r>
      <w:r>
        <w:rPr>
          <w:rFonts w:hint="eastAsia" w:ascii="Times New Roman" w:hAnsi="Times New Roman" w:eastAsia="仿宋_GB2312" w:cs="仿宋_GB2312"/>
          <w:b/>
          <w:bCs/>
          <w:color w:val="auto"/>
          <w:sz w:val="28"/>
          <w:szCs w:val="28"/>
          <w:highlight w:val="none"/>
          <w:u w:val="none"/>
        </w:rPr>
        <w:t>-1</w:t>
      </w:r>
      <w:r>
        <w:rPr>
          <w:rFonts w:hint="eastAsia" w:ascii="Times New Roman" w:hAnsi="Times New Roman" w:eastAsia="仿宋_GB2312" w:cs="仿宋_GB2312"/>
          <w:b/>
          <w:bCs/>
          <w:color w:val="auto"/>
          <w:sz w:val="28"/>
          <w:szCs w:val="28"/>
          <w:highlight w:val="none"/>
          <w:u w:val="none"/>
          <w:lang w:val="en-US" w:eastAsia="zh-CN"/>
        </w:rPr>
        <w:t xml:space="preserve"> </w:t>
      </w:r>
      <w:r>
        <w:rPr>
          <w:rFonts w:hint="eastAsia" w:ascii="Times New Roman" w:hAnsi="Times New Roman" w:cs="仿宋_GB2312"/>
          <w:b/>
          <w:bCs/>
          <w:color w:val="auto"/>
          <w:sz w:val="28"/>
          <w:szCs w:val="28"/>
          <w:highlight w:val="none"/>
          <w:u w:val="none"/>
          <w:lang w:val="en-US" w:eastAsia="zh-CN"/>
        </w:rPr>
        <w:t>西乡县现代农业机械智能制造产业园建设项目</w:t>
      </w:r>
      <w:r>
        <w:rPr>
          <w:rFonts w:hint="eastAsia" w:ascii="Times New Roman" w:hAnsi="Times New Roman" w:eastAsia="仿宋_GB2312" w:cs="仿宋_GB2312"/>
          <w:b/>
          <w:bCs/>
          <w:color w:val="auto"/>
          <w:sz w:val="28"/>
          <w:szCs w:val="28"/>
          <w:highlight w:val="none"/>
          <w:u w:val="none"/>
        </w:rPr>
        <w:t>指标评分表</w:t>
      </w:r>
    </w:p>
    <w:tbl>
      <w:tblPr>
        <w:tblStyle w:val="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211"/>
        <w:gridCol w:w="2211"/>
        <w:gridCol w:w="2211"/>
        <w:gridCol w:w="2227"/>
      </w:tblGrid>
      <w:tr w14:paraId="2590A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1248" w:type="pct"/>
            <w:shd w:val="clear" w:color="auto" w:fill="auto"/>
            <w:tcMar>
              <w:top w:w="10" w:type="dxa"/>
              <w:left w:w="10" w:type="dxa"/>
              <w:right w:w="10" w:type="dxa"/>
            </w:tcMar>
            <w:vAlign w:val="center"/>
          </w:tcPr>
          <w:p w14:paraId="2AFB4588">
            <w:pPr>
              <w:bidi w:val="0"/>
              <w:spacing w:line="240" w:lineRule="auto"/>
              <w:ind w:firstLine="0" w:firstLineChars="0"/>
              <w:jc w:val="center"/>
              <w:rPr>
                <w:rFonts w:hint="eastAsia" w:ascii="Times New Roman" w:hAnsi="Times New Roman" w:eastAsia="仿宋" w:cs="仿宋"/>
                <w:b/>
                <w:bCs/>
                <w:color w:val="auto"/>
                <w:sz w:val="24"/>
                <w:szCs w:val="24"/>
                <w:highlight w:val="none"/>
                <w:u w:val="none"/>
                <w:lang w:val="en-US" w:eastAsia="zh-CN"/>
              </w:rPr>
            </w:pPr>
            <w:r>
              <w:rPr>
                <w:rFonts w:hint="eastAsia" w:ascii="Times New Roman" w:hAnsi="Times New Roman" w:eastAsia="仿宋" w:cs="仿宋"/>
                <w:b/>
                <w:bCs/>
                <w:color w:val="auto"/>
                <w:sz w:val="24"/>
                <w:szCs w:val="24"/>
                <w:highlight w:val="none"/>
                <w:u w:val="none"/>
                <w:lang w:val="en-US" w:eastAsia="zh-CN"/>
              </w:rPr>
              <w:t>一级指标</w:t>
            </w:r>
          </w:p>
        </w:tc>
        <w:tc>
          <w:tcPr>
            <w:tcW w:w="1248" w:type="pct"/>
            <w:shd w:val="clear" w:color="auto" w:fill="auto"/>
            <w:tcMar>
              <w:top w:w="10" w:type="dxa"/>
              <w:left w:w="10" w:type="dxa"/>
              <w:right w:w="10" w:type="dxa"/>
            </w:tcMar>
            <w:vAlign w:val="center"/>
          </w:tcPr>
          <w:p w14:paraId="148D80F1">
            <w:pPr>
              <w:bidi w:val="0"/>
              <w:spacing w:line="240" w:lineRule="auto"/>
              <w:ind w:firstLine="0" w:firstLineChars="0"/>
              <w:jc w:val="center"/>
              <w:rPr>
                <w:rFonts w:hint="eastAsia" w:ascii="Times New Roman" w:hAnsi="Times New Roman" w:eastAsia="仿宋" w:cs="仿宋"/>
                <w:b/>
                <w:bCs/>
                <w:color w:val="auto"/>
                <w:sz w:val="24"/>
                <w:szCs w:val="24"/>
                <w:highlight w:val="none"/>
                <w:u w:val="none"/>
              </w:rPr>
            </w:pPr>
            <w:r>
              <w:rPr>
                <w:rFonts w:hint="eastAsia" w:ascii="Times New Roman" w:hAnsi="Times New Roman" w:eastAsia="仿宋" w:cs="仿宋"/>
                <w:b/>
                <w:bCs/>
                <w:color w:val="auto"/>
                <w:sz w:val="24"/>
                <w:szCs w:val="24"/>
                <w:highlight w:val="none"/>
                <w:u w:val="none"/>
                <w:lang w:val="en-US" w:eastAsia="zh-CN"/>
              </w:rPr>
              <w:t>分值</w:t>
            </w:r>
          </w:p>
        </w:tc>
        <w:tc>
          <w:tcPr>
            <w:tcW w:w="1248" w:type="pct"/>
            <w:shd w:val="clear" w:color="auto" w:fill="auto"/>
            <w:tcMar>
              <w:top w:w="10" w:type="dxa"/>
              <w:left w:w="10" w:type="dxa"/>
              <w:right w:w="10" w:type="dxa"/>
            </w:tcMar>
            <w:vAlign w:val="center"/>
          </w:tcPr>
          <w:p w14:paraId="084791E0">
            <w:pPr>
              <w:bidi w:val="0"/>
              <w:spacing w:line="240" w:lineRule="auto"/>
              <w:ind w:firstLine="0" w:firstLineChars="0"/>
              <w:jc w:val="center"/>
              <w:rPr>
                <w:rFonts w:hint="eastAsia" w:ascii="Times New Roman" w:hAnsi="Times New Roman" w:eastAsia="仿宋" w:cs="仿宋"/>
                <w:b/>
                <w:bCs/>
                <w:color w:val="auto"/>
                <w:sz w:val="24"/>
                <w:szCs w:val="24"/>
                <w:highlight w:val="none"/>
                <w:u w:val="none"/>
                <w:lang w:val="en-US" w:eastAsia="zh-CN"/>
              </w:rPr>
            </w:pPr>
            <w:r>
              <w:rPr>
                <w:rFonts w:hint="eastAsia" w:ascii="Times New Roman" w:hAnsi="Times New Roman" w:eastAsia="仿宋" w:cs="仿宋"/>
                <w:b/>
                <w:bCs/>
                <w:color w:val="auto"/>
                <w:sz w:val="24"/>
                <w:szCs w:val="24"/>
                <w:highlight w:val="none"/>
                <w:u w:val="none"/>
                <w:lang w:val="en-US" w:eastAsia="zh-CN"/>
              </w:rPr>
              <w:t>得分</w:t>
            </w:r>
          </w:p>
        </w:tc>
        <w:tc>
          <w:tcPr>
            <w:tcW w:w="1253" w:type="pct"/>
            <w:shd w:val="clear" w:color="auto" w:fill="auto"/>
            <w:tcMar>
              <w:top w:w="10" w:type="dxa"/>
              <w:left w:w="10" w:type="dxa"/>
              <w:right w:w="10" w:type="dxa"/>
            </w:tcMar>
            <w:vAlign w:val="center"/>
          </w:tcPr>
          <w:p w14:paraId="0D74E12B">
            <w:pPr>
              <w:bidi w:val="0"/>
              <w:spacing w:line="240" w:lineRule="auto"/>
              <w:ind w:firstLine="0" w:firstLineChars="0"/>
              <w:jc w:val="center"/>
              <w:rPr>
                <w:rFonts w:hint="eastAsia" w:ascii="Times New Roman" w:hAnsi="Times New Roman" w:eastAsia="仿宋" w:cs="仿宋"/>
                <w:b/>
                <w:bCs/>
                <w:color w:val="auto"/>
                <w:sz w:val="24"/>
                <w:szCs w:val="24"/>
                <w:highlight w:val="none"/>
                <w:u w:val="none"/>
                <w:lang w:val="en-US" w:eastAsia="zh-CN"/>
              </w:rPr>
            </w:pPr>
            <w:r>
              <w:rPr>
                <w:rFonts w:hint="eastAsia" w:ascii="Times New Roman" w:hAnsi="Times New Roman" w:eastAsia="仿宋" w:cs="仿宋"/>
                <w:b/>
                <w:bCs/>
                <w:color w:val="auto"/>
                <w:sz w:val="24"/>
                <w:szCs w:val="24"/>
                <w:highlight w:val="none"/>
                <w:u w:val="none"/>
                <w:lang w:val="en-US" w:eastAsia="zh-CN"/>
              </w:rPr>
              <w:t>得分率</w:t>
            </w:r>
          </w:p>
        </w:tc>
      </w:tr>
      <w:tr w14:paraId="673EF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248" w:type="pct"/>
            <w:shd w:val="clear" w:color="auto" w:fill="auto"/>
            <w:tcMar>
              <w:top w:w="10" w:type="dxa"/>
              <w:left w:w="10" w:type="dxa"/>
              <w:right w:w="10" w:type="dxa"/>
            </w:tcMar>
            <w:vAlign w:val="center"/>
          </w:tcPr>
          <w:p w14:paraId="62CC23D5">
            <w:pPr>
              <w:bidi w:val="0"/>
              <w:spacing w:line="240" w:lineRule="auto"/>
              <w:ind w:firstLine="0" w:firstLineChars="0"/>
              <w:jc w:val="center"/>
              <w:rPr>
                <w:rFonts w:hint="eastAsia" w:ascii="Times New Roman" w:hAnsi="Times New Roman" w:eastAsia="仿宋" w:cs="仿宋"/>
                <w:color w:val="auto"/>
                <w:sz w:val="24"/>
                <w:szCs w:val="24"/>
                <w:highlight w:val="none"/>
                <w:u w:val="none"/>
                <w:lang w:val="en-US" w:eastAsia="zh-CN"/>
              </w:rPr>
            </w:pPr>
            <w:r>
              <w:rPr>
                <w:rFonts w:hint="eastAsia" w:ascii="Times New Roman" w:hAnsi="Times New Roman" w:eastAsia="仿宋" w:cs="仿宋"/>
                <w:color w:val="auto"/>
                <w:sz w:val="24"/>
                <w:szCs w:val="24"/>
                <w:highlight w:val="none"/>
                <w:u w:val="none"/>
                <w:lang w:val="en-US" w:eastAsia="zh-CN"/>
              </w:rPr>
              <w:t>决策</w:t>
            </w:r>
          </w:p>
        </w:tc>
        <w:tc>
          <w:tcPr>
            <w:tcW w:w="2213" w:type="dxa"/>
            <w:shd w:val="clear" w:color="auto" w:fill="auto"/>
            <w:tcMar>
              <w:top w:w="10" w:type="dxa"/>
              <w:left w:w="10" w:type="dxa"/>
              <w:right w:w="10" w:type="dxa"/>
            </w:tcMar>
            <w:vAlign w:val="center"/>
          </w:tcPr>
          <w:p w14:paraId="0F35C9E7">
            <w:pPr>
              <w:keepNext w:val="0"/>
              <w:keepLines w:val="0"/>
              <w:widowControl/>
              <w:suppressLineNumbers w:val="0"/>
              <w:spacing w:line="240" w:lineRule="auto"/>
              <w:ind w:firstLine="0" w:firstLineChars="0"/>
              <w:jc w:val="center"/>
              <w:textAlignment w:val="center"/>
              <w:rPr>
                <w:rFonts w:hint="eastAsia" w:ascii="Times New Roman" w:hAnsi="Times New Roman" w:eastAsia="仿宋" w:cs="仿宋"/>
                <w:color w:val="auto"/>
                <w:sz w:val="24"/>
                <w:szCs w:val="24"/>
                <w:highlight w:val="none"/>
                <w:u w:val="none"/>
                <w:lang w:val="en-US"/>
              </w:rPr>
            </w:pPr>
            <w:r>
              <w:rPr>
                <w:rFonts w:hint="eastAsia" w:ascii="Times New Roman" w:hAnsi="Times New Roman" w:eastAsia="仿宋" w:cs="仿宋"/>
                <w:i w:val="0"/>
                <w:iCs w:val="0"/>
                <w:color w:val="auto"/>
                <w:kern w:val="0"/>
                <w:sz w:val="24"/>
                <w:szCs w:val="24"/>
                <w:highlight w:val="none"/>
                <w:u w:val="none"/>
                <w:lang w:val="en-US" w:eastAsia="zh-CN" w:bidi="ar"/>
              </w:rPr>
              <w:t>20.00</w:t>
            </w:r>
          </w:p>
        </w:tc>
        <w:tc>
          <w:tcPr>
            <w:tcW w:w="2213" w:type="dxa"/>
            <w:shd w:val="clear" w:color="auto" w:fill="auto"/>
            <w:tcMar>
              <w:top w:w="10" w:type="dxa"/>
              <w:left w:w="10" w:type="dxa"/>
              <w:right w:w="10" w:type="dxa"/>
            </w:tcMar>
            <w:vAlign w:val="center"/>
          </w:tcPr>
          <w:p w14:paraId="20B1ED18">
            <w:pPr>
              <w:keepNext w:val="0"/>
              <w:keepLines w:val="0"/>
              <w:widowControl/>
              <w:suppressLineNumbers w:val="0"/>
              <w:spacing w:line="240" w:lineRule="auto"/>
              <w:ind w:firstLine="0" w:firstLineChars="0"/>
              <w:jc w:val="center"/>
              <w:textAlignment w:val="center"/>
              <w:rPr>
                <w:rFonts w:hint="eastAsia" w:ascii="Times New Roman" w:hAnsi="Times New Roman" w:eastAsia="仿宋" w:cs="仿宋"/>
                <w:color w:val="auto"/>
                <w:sz w:val="24"/>
                <w:szCs w:val="24"/>
                <w:highlight w:val="none"/>
                <w:u w:val="none"/>
                <w:lang w:val="en-US" w:eastAsia="zh-CN"/>
              </w:rPr>
            </w:pPr>
            <w:r>
              <w:rPr>
                <w:rFonts w:hint="eastAsia" w:ascii="Times New Roman" w:hAnsi="Times New Roman" w:eastAsia="仿宋" w:cs="仿宋"/>
                <w:color w:val="auto"/>
                <w:sz w:val="24"/>
                <w:szCs w:val="24"/>
                <w:highlight w:val="none"/>
                <w:u w:val="none"/>
                <w:lang w:val="en-US" w:eastAsia="zh-CN"/>
              </w:rPr>
              <w:t>18.80</w:t>
            </w:r>
          </w:p>
        </w:tc>
        <w:tc>
          <w:tcPr>
            <w:tcW w:w="2222" w:type="dxa"/>
            <w:shd w:val="clear" w:color="auto" w:fill="auto"/>
            <w:tcMar>
              <w:top w:w="10" w:type="dxa"/>
              <w:left w:w="10" w:type="dxa"/>
              <w:right w:w="10" w:type="dxa"/>
            </w:tcMar>
            <w:vAlign w:val="center"/>
          </w:tcPr>
          <w:p w14:paraId="1900E615">
            <w:pPr>
              <w:keepNext w:val="0"/>
              <w:keepLines w:val="0"/>
              <w:widowControl/>
              <w:suppressLineNumbers w:val="0"/>
              <w:spacing w:line="240" w:lineRule="auto"/>
              <w:ind w:firstLine="0" w:firstLineChars="0"/>
              <w:jc w:val="center"/>
              <w:textAlignment w:val="center"/>
              <w:rPr>
                <w:rFonts w:hint="eastAsia" w:ascii="Times New Roman" w:hAnsi="Times New Roman" w:eastAsia="仿宋" w:cs="仿宋"/>
                <w:color w:val="auto"/>
                <w:sz w:val="24"/>
                <w:szCs w:val="24"/>
                <w:highlight w:val="none"/>
                <w:u w:val="none"/>
                <w:lang w:val="en-US" w:eastAsia="zh-CN"/>
              </w:rPr>
            </w:pPr>
            <w:r>
              <w:rPr>
                <w:rFonts w:hint="eastAsia" w:ascii="Times New Roman" w:hAnsi="Times New Roman" w:eastAsia="仿宋" w:cs="仿宋"/>
                <w:color w:val="auto"/>
                <w:sz w:val="24"/>
                <w:szCs w:val="24"/>
                <w:highlight w:val="none"/>
                <w:u w:val="none"/>
                <w:lang w:val="en-US" w:eastAsia="zh-CN"/>
              </w:rPr>
              <w:t>94%</w:t>
            </w:r>
          </w:p>
        </w:tc>
      </w:tr>
      <w:tr w14:paraId="651AB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248" w:type="pct"/>
            <w:shd w:val="clear" w:color="auto" w:fill="auto"/>
            <w:tcMar>
              <w:top w:w="10" w:type="dxa"/>
              <w:left w:w="10" w:type="dxa"/>
              <w:right w:w="10" w:type="dxa"/>
            </w:tcMar>
            <w:vAlign w:val="center"/>
          </w:tcPr>
          <w:p w14:paraId="4891D9D4">
            <w:pPr>
              <w:bidi w:val="0"/>
              <w:spacing w:line="240" w:lineRule="auto"/>
              <w:ind w:firstLine="0" w:firstLineChars="0"/>
              <w:jc w:val="center"/>
              <w:rPr>
                <w:rFonts w:hint="eastAsia" w:ascii="Times New Roman" w:hAnsi="Times New Roman" w:eastAsia="仿宋" w:cs="仿宋"/>
                <w:color w:val="auto"/>
                <w:sz w:val="24"/>
                <w:szCs w:val="24"/>
                <w:highlight w:val="none"/>
                <w:u w:val="none"/>
                <w:lang w:val="en-US" w:eastAsia="zh-CN"/>
              </w:rPr>
            </w:pPr>
            <w:r>
              <w:rPr>
                <w:rFonts w:hint="eastAsia" w:ascii="Times New Roman" w:hAnsi="Times New Roman" w:eastAsia="仿宋" w:cs="仿宋"/>
                <w:color w:val="auto"/>
                <w:sz w:val="24"/>
                <w:szCs w:val="24"/>
                <w:highlight w:val="none"/>
                <w:u w:val="none"/>
                <w:lang w:val="en-US" w:eastAsia="zh-CN"/>
              </w:rPr>
              <w:t>管理</w:t>
            </w:r>
          </w:p>
        </w:tc>
        <w:tc>
          <w:tcPr>
            <w:tcW w:w="2213" w:type="dxa"/>
            <w:shd w:val="clear" w:color="auto" w:fill="auto"/>
            <w:tcMar>
              <w:top w:w="10" w:type="dxa"/>
              <w:left w:w="10" w:type="dxa"/>
              <w:right w:w="10" w:type="dxa"/>
            </w:tcMar>
            <w:vAlign w:val="center"/>
          </w:tcPr>
          <w:p w14:paraId="32E8A67E">
            <w:pPr>
              <w:keepNext w:val="0"/>
              <w:keepLines w:val="0"/>
              <w:widowControl/>
              <w:suppressLineNumbers w:val="0"/>
              <w:spacing w:line="240" w:lineRule="auto"/>
              <w:ind w:firstLine="0" w:firstLineChars="0"/>
              <w:jc w:val="center"/>
              <w:textAlignment w:val="center"/>
              <w:rPr>
                <w:rFonts w:hint="eastAsia" w:ascii="Times New Roman" w:hAnsi="Times New Roman" w:eastAsia="仿宋" w:cs="仿宋"/>
                <w:color w:val="auto"/>
                <w:sz w:val="24"/>
                <w:szCs w:val="24"/>
                <w:highlight w:val="none"/>
                <w:u w:val="none"/>
                <w:lang w:val="en-US"/>
              </w:rPr>
            </w:pPr>
            <w:r>
              <w:rPr>
                <w:rFonts w:hint="eastAsia" w:ascii="Times New Roman" w:hAnsi="Times New Roman" w:eastAsia="仿宋" w:cs="仿宋"/>
                <w:i w:val="0"/>
                <w:iCs w:val="0"/>
                <w:color w:val="auto"/>
                <w:kern w:val="0"/>
                <w:sz w:val="24"/>
                <w:szCs w:val="24"/>
                <w:highlight w:val="none"/>
                <w:u w:val="none"/>
                <w:lang w:val="en-US" w:eastAsia="zh-CN" w:bidi="ar"/>
              </w:rPr>
              <w:t>30.00</w:t>
            </w:r>
          </w:p>
        </w:tc>
        <w:tc>
          <w:tcPr>
            <w:tcW w:w="2213" w:type="dxa"/>
            <w:shd w:val="clear" w:color="auto" w:fill="auto"/>
            <w:tcMar>
              <w:top w:w="10" w:type="dxa"/>
              <w:left w:w="10" w:type="dxa"/>
              <w:right w:w="10" w:type="dxa"/>
            </w:tcMar>
            <w:vAlign w:val="center"/>
          </w:tcPr>
          <w:p w14:paraId="5C85B4B1">
            <w:pPr>
              <w:keepNext w:val="0"/>
              <w:keepLines w:val="0"/>
              <w:widowControl/>
              <w:suppressLineNumbers w:val="0"/>
              <w:spacing w:line="240" w:lineRule="auto"/>
              <w:ind w:firstLine="0" w:firstLineChars="0"/>
              <w:jc w:val="center"/>
              <w:textAlignment w:val="center"/>
              <w:rPr>
                <w:rFonts w:hint="eastAsia" w:ascii="Times New Roman" w:hAnsi="Times New Roman" w:eastAsia="仿宋" w:cs="仿宋"/>
                <w:color w:val="auto"/>
                <w:sz w:val="24"/>
                <w:szCs w:val="24"/>
                <w:highlight w:val="none"/>
                <w:u w:val="none"/>
                <w:lang w:val="en-US" w:eastAsia="zh-CN"/>
              </w:rPr>
            </w:pPr>
            <w:r>
              <w:rPr>
                <w:rFonts w:hint="eastAsia" w:ascii="Times New Roman" w:hAnsi="Times New Roman" w:eastAsia="仿宋" w:cs="仿宋"/>
                <w:color w:val="auto"/>
                <w:sz w:val="24"/>
                <w:szCs w:val="24"/>
                <w:highlight w:val="none"/>
                <w:u w:val="none"/>
                <w:lang w:val="en-US" w:eastAsia="zh-CN"/>
              </w:rPr>
              <w:t>19.51</w:t>
            </w:r>
          </w:p>
        </w:tc>
        <w:tc>
          <w:tcPr>
            <w:tcW w:w="2222" w:type="dxa"/>
            <w:shd w:val="clear" w:color="auto" w:fill="auto"/>
            <w:tcMar>
              <w:top w:w="10" w:type="dxa"/>
              <w:left w:w="10" w:type="dxa"/>
              <w:right w:w="10" w:type="dxa"/>
            </w:tcMar>
            <w:vAlign w:val="center"/>
          </w:tcPr>
          <w:p w14:paraId="6DF553FF">
            <w:pPr>
              <w:keepNext w:val="0"/>
              <w:keepLines w:val="0"/>
              <w:widowControl/>
              <w:suppressLineNumbers w:val="0"/>
              <w:spacing w:line="240" w:lineRule="auto"/>
              <w:ind w:firstLine="0" w:firstLineChars="0"/>
              <w:jc w:val="center"/>
              <w:textAlignment w:val="center"/>
              <w:rPr>
                <w:rFonts w:hint="eastAsia" w:ascii="Times New Roman" w:hAnsi="Times New Roman" w:eastAsia="仿宋" w:cs="仿宋"/>
                <w:color w:val="auto"/>
                <w:sz w:val="24"/>
                <w:szCs w:val="24"/>
                <w:highlight w:val="none"/>
                <w:u w:val="none"/>
                <w:lang w:val="en-US" w:eastAsia="zh-CN"/>
              </w:rPr>
            </w:pPr>
            <w:r>
              <w:rPr>
                <w:rFonts w:hint="eastAsia" w:ascii="Times New Roman" w:hAnsi="Times New Roman" w:eastAsia="仿宋" w:cs="仿宋"/>
                <w:color w:val="auto"/>
                <w:sz w:val="24"/>
                <w:szCs w:val="24"/>
                <w:highlight w:val="none"/>
                <w:u w:val="none"/>
                <w:lang w:val="en-US" w:eastAsia="zh-CN"/>
              </w:rPr>
              <w:t>65.03</w:t>
            </w:r>
          </w:p>
        </w:tc>
      </w:tr>
      <w:tr w14:paraId="25666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248" w:type="pct"/>
            <w:shd w:val="clear" w:color="auto" w:fill="auto"/>
            <w:tcMar>
              <w:top w:w="10" w:type="dxa"/>
              <w:left w:w="10" w:type="dxa"/>
              <w:right w:w="10" w:type="dxa"/>
            </w:tcMar>
            <w:vAlign w:val="center"/>
          </w:tcPr>
          <w:p w14:paraId="545EF8D5">
            <w:pPr>
              <w:bidi w:val="0"/>
              <w:spacing w:line="240" w:lineRule="auto"/>
              <w:ind w:firstLine="0" w:firstLineChars="0"/>
              <w:jc w:val="center"/>
              <w:rPr>
                <w:rFonts w:hint="eastAsia" w:ascii="Times New Roman" w:hAnsi="Times New Roman" w:eastAsia="仿宋" w:cs="仿宋"/>
                <w:color w:val="auto"/>
                <w:sz w:val="24"/>
                <w:szCs w:val="24"/>
                <w:highlight w:val="none"/>
                <w:u w:val="none"/>
                <w:lang w:val="en-US" w:eastAsia="zh-CN"/>
              </w:rPr>
            </w:pPr>
            <w:r>
              <w:rPr>
                <w:rFonts w:hint="eastAsia" w:ascii="Times New Roman" w:hAnsi="Times New Roman" w:eastAsia="仿宋" w:cs="仿宋"/>
                <w:color w:val="auto"/>
                <w:sz w:val="24"/>
                <w:szCs w:val="24"/>
                <w:highlight w:val="none"/>
                <w:u w:val="none"/>
                <w:lang w:val="en-US" w:eastAsia="zh-CN"/>
              </w:rPr>
              <w:t>产出</w:t>
            </w:r>
          </w:p>
        </w:tc>
        <w:tc>
          <w:tcPr>
            <w:tcW w:w="2213" w:type="dxa"/>
            <w:shd w:val="clear" w:color="auto" w:fill="auto"/>
            <w:tcMar>
              <w:top w:w="10" w:type="dxa"/>
              <w:left w:w="10" w:type="dxa"/>
              <w:right w:w="10" w:type="dxa"/>
            </w:tcMar>
            <w:vAlign w:val="center"/>
          </w:tcPr>
          <w:p w14:paraId="05071307">
            <w:pPr>
              <w:keepNext w:val="0"/>
              <w:keepLines w:val="0"/>
              <w:widowControl/>
              <w:suppressLineNumbers w:val="0"/>
              <w:spacing w:line="240" w:lineRule="auto"/>
              <w:ind w:firstLine="0" w:firstLineChars="0"/>
              <w:jc w:val="center"/>
              <w:textAlignment w:val="center"/>
              <w:rPr>
                <w:rFonts w:hint="eastAsia" w:ascii="Times New Roman" w:hAnsi="Times New Roman" w:eastAsia="仿宋" w:cs="仿宋"/>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32.00</w:t>
            </w:r>
          </w:p>
        </w:tc>
        <w:tc>
          <w:tcPr>
            <w:tcW w:w="2213" w:type="dxa"/>
            <w:shd w:val="clear" w:color="auto" w:fill="auto"/>
            <w:tcMar>
              <w:top w:w="10" w:type="dxa"/>
              <w:left w:w="10" w:type="dxa"/>
              <w:right w:w="10" w:type="dxa"/>
            </w:tcMar>
            <w:vAlign w:val="center"/>
          </w:tcPr>
          <w:p w14:paraId="7B4D4B28">
            <w:pPr>
              <w:keepNext w:val="0"/>
              <w:keepLines w:val="0"/>
              <w:widowControl/>
              <w:suppressLineNumbers w:val="0"/>
              <w:spacing w:line="240" w:lineRule="auto"/>
              <w:ind w:firstLine="0" w:firstLineChars="0"/>
              <w:jc w:val="center"/>
              <w:textAlignment w:val="center"/>
              <w:rPr>
                <w:rFonts w:hint="eastAsia" w:ascii="Times New Roman" w:hAnsi="Times New Roman" w:eastAsia="仿宋" w:cs="仿宋"/>
                <w:color w:val="auto"/>
                <w:sz w:val="24"/>
                <w:szCs w:val="24"/>
                <w:highlight w:val="none"/>
                <w:u w:val="none"/>
                <w:lang w:val="en-US" w:eastAsia="zh-CN"/>
              </w:rPr>
            </w:pPr>
            <w:r>
              <w:rPr>
                <w:rFonts w:hint="eastAsia" w:ascii="Times New Roman" w:hAnsi="Times New Roman" w:eastAsia="仿宋" w:cs="仿宋"/>
                <w:color w:val="auto"/>
                <w:sz w:val="24"/>
                <w:szCs w:val="24"/>
                <w:highlight w:val="none"/>
                <w:u w:val="none"/>
                <w:lang w:val="en-US" w:eastAsia="zh-CN"/>
              </w:rPr>
              <w:t>17.71</w:t>
            </w:r>
          </w:p>
        </w:tc>
        <w:tc>
          <w:tcPr>
            <w:tcW w:w="2222" w:type="dxa"/>
            <w:shd w:val="clear" w:color="auto" w:fill="auto"/>
            <w:tcMar>
              <w:top w:w="10" w:type="dxa"/>
              <w:left w:w="10" w:type="dxa"/>
              <w:right w:w="10" w:type="dxa"/>
            </w:tcMar>
            <w:vAlign w:val="center"/>
          </w:tcPr>
          <w:p w14:paraId="49DCD82A">
            <w:pPr>
              <w:keepNext w:val="0"/>
              <w:keepLines w:val="0"/>
              <w:widowControl/>
              <w:suppressLineNumbers w:val="0"/>
              <w:spacing w:line="240" w:lineRule="auto"/>
              <w:ind w:firstLine="0" w:firstLineChars="0"/>
              <w:jc w:val="center"/>
              <w:textAlignment w:val="center"/>
              <w:rPr>
                <w:rFonts w:hint="eastAsia" w:ascii="Times New Roman" w:hAnsi="Times New Roman" w:eastAsia="仿宋" w:cs="仿宋"/>
                <w:color w:val="auto"/>
                <w:sz w:val="24"/>
                <w:szCs w:val="24"/>
                <w:highlight w:val="none"/>
                <w:u w:val="none"/>
                <w:lang w:val="en-US" w:eastAsia="zh-CN"/>
              </w:rPr>
            </w:pPr>
            <w:r>
              <w:rPr>
                <w:rFonts w:hint="eastAsia" w:ascii="Times New Roman" w:hAnsi="Times New Roman" w:eastAsia="仿宋" w:cs="仿宋"/>
                <w:color w:val="auto"/>
                <w:sz w:val="24"/>
                <w:szCs w:val="24"/>
                <w:highlight w:val="none"/>
                <w:u w:val="none"/>
                <w:lang w:val="en-US" w:eastAsia="zh-CN"/>
              </w:rPr>
              <w:t>55.34%</w:t>
            </w:r>
          </w:p>
        </w:tc>
      </w:tr>
      <w:tr w14:paraId="1BE58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248" w:type="pct"/>
            <w:shd w:val="clear" w:color="auto" w:fill="auto"/>
            <w:tcMar>
              <w:top w:w="10" w:type="dxa"/>
              <w:left w:w="10" w:type="dxa"/>
              <w:right w:w="10" w:type="dxa"/>
            </w:tcMar>
            <w:vAlign w:val="center"/>
          </w:tcPr>
          <w:p w14:paraId="25FDB281">
            <w:pPr>
              <w:bidi w:val="0"/>
              <w:spacing w:line="240" w:lineRule="auto"/>
              <w:ind w:firstLine="0" w:firstLineChars="0"/>
              <w:jc w:val="center"/>
              <w:rPr>
                <w:rFonts w:hint="eastAsia" w:ascii="Times New Roman" w:hAnsi="Times New Roman" w:eastAsia="仿宋" w:cs="仿宋"/>
                <w:color w:val="auto"/>
                <w:sz w:val="24"/>
                <w:szCs w:val="24"/>
                <w:highlight w:val="none"/>
                <w:u w:val="none"/>
                <w:lang w:val="en-US" w:eastAsia="zh-CN"/>
              </w:rPr>
            </w:pPr>
            <w:r>
              <w:rPr>
                <w:rFonts w:hint="eastAsia" w:ascii="Times New Roman" w:hAnsi="Times New Roman" w:eastAsia="仿宋" w:cs="仿宋"/>
                <w:color w:val="auto"/>
                <w:sz w:val="24"/>
                <w:szCs w:val="24"/>
                <w:highlight w:val="none"/>
                <w:u w:val="none"/>
                <w:lang w:val="en-US" w:eastAsia="zh-CN"/>
              </w:rPr>
              <w:t>效益</w:t>
            </w:r>
          </w:p>
        </w:tc>
        <w:tc>
          <w:tcPr>
            <w:tcW w:w="2213" w:type="dxa"/>
            <w:shd w:val="clear" w:color="auto" w:fill="auto"/>
            <w:tcMar>
              <w:top w:w="10" w:type="dxa"/>
              <w:left w:w="10" w:type="dxa"/>
              <w:right w:w="10" w:type="dxa"/>
            </w:tcMar>
            <w:vAlign w:val="center"/>
          </w:tcPr>
          <w:p w14:paraId="62FFE99E">
            <w:pPr>
              <w:keepNext w:val="0"/>
              <w:keepLines w:val="0"/>
              <w:widowControl/>
              <w:suppressLineNumbers w:val="0"/>
              <w:spacing w:line="240" w:lineRule="auto"/>
              <w:ind w:firstLine="0" w:firstLineChars="0"/>
              <w:jc w:val="center"/>
              <w:textAlignment w:val="center"/>
              <w:rPr>
                <w:rFonts w:hint="eastAsia" w:ascii="Times New Roman" w:hAnsi="Times New Roman" w:eastAsia="仿宋" w:cs="仿宋"/>
                <w:color w:val="auto"/>
                <w:sz w:val="24"/>
                <w:szCs w:val="24"/>
                <w:highlight w:val="none"/>
                <w:u w:val="none"/>
              </w:rPr>
            </w:pPr>
            <w:r>
              <w:rPr>
                <w:rFonts w:hint="eastAsia" w:ascii="Times New Roman" w:hAnsi="Times New Roman" w:eastAsia="仿宋" w:cs="仿宋"/>
                <w:i w:val="0"/>
                <w:iCs w:val="0"/>
                <w:color w:val="auto"/>
                <w:kern w:val="0"/>
                <w:sz w:val="24"/>
                <w:szCs w:val="24"/>
                <w:highlight w:val="none"/>
                <w:u w:val="none"/>
                <w:lang w:val="en-US" w:eastAsia="zh-CN" w:bidi="ar"/>
              </w:rPr>
              <w:t>18.00</w:t>
            </w:r>
          </w:p>
        </w:tc>
        <w:tc>
          <w:tcPr>
            <w:tcW w:w="2213" w:type="dxa"/>
            <w:shd w:val="clear" w:color="auto" w:fill="auto"/>
            <w:tcMar>
              <w:top w:w="10" w:type="dxa"/>
              <w:left w:w="10" w:type="dxa"/>
              <w:right w:w="10" w:type="dxa"/>
            </w:tcMar>
            <w:vAlign w:val="center"/>
          </w:tcPr>
          <w:p w14:paraId="7C3980F8">
            <w:pPr>
              <w:keepNext w:val="0"/>
              <w:keepLines w:val="0"/>
              <w:widowControl/>
              <w:suppressLineNumbers w:val="0"/>
              <w:spacing w:line="240" w:lineRule="auto"/>
              <w:ind w:firstLine="0" w:firstLineChars="0"/>
              <w:jc w:val="center"/>
              <w:textAlignment w:val="center"/>
              <w:rPr>
                <w:rFonts w:hint="eastAsia" w:ascii="Times New Roman" w:hAnsi="Times New Roman" w:eastAsia="仿宋" w:cs="仿宋"/>
                <w:color w:val="auto"/>
                <w:sz w:val="24"/>
                <w:szCs w:val="24"/>
                <w:highlight w:val="none"/>
                <w:u w:val="none"/>
                <w:lang w:val="en-US" w:eastAsia="zh-CN"/>
              </w:rPr>
            </w:pPr>
            <w:r>
              <w:rPr>
                <w:rFonts w:hint="eastAsia" w:ascii="Times New Roman" w:hAnsi="Times New Roman" w:eastAsia="仿宋" w:cs="仿宋"/>
                <w:color w:val="auto"/>
                <w:sz w:val="24"/>
                <w:szCs w:val="24"/>
                <w:highlight w:val="none"/>
                <w:u w:val="none"/>
                <w:lang w:val="en-US" w:eastAsia="zh-CN"/>
              </w:rPr>
              <w:t>11.00</w:t>
            </w:r>
          </w:p>
        </w:tc>
        <w:tc>
          <w:tcPr>
            <w:tcW w:w="2222" w:type="dxa"/>
            <w:shd w:val="clear" w:color="auto" w:fill="auto"/>
            <w:tcMar>
              <w:top w:w="10" w:type="dxa"/>
              <w:left w:w="10" w:type="dxa"/>
              <w:right w:w="10" w:type="dxa"/>
            </w:tcMar>
            <w:vAlign w:val="center"/>
          </w:tcPr>
          <w:p w14:paraId="4DAEE86F">
            <w:pPr>
              <w:keepNext w:val="0"/>
              <w:keepLines w:val="0"/>
              <w:widowControl/>
              <w:suppressLineNumbers w:val="0"/>
              <w:spacing w:line="240" w:lineRule="auto"/>
              <w:ind w:firstLine="0" w:firstLineChars="0"/>
              <w:jc w:val="center"/>
              <w:textAlignment w:val="center"/>
              <w:rPr>
                <w:rFonts w:hint="eastAsia" w:ascii="Times New Roman" w:hAnsi="Times New Roman" w:eastAsia="仿宋" w:cs="仿宋"/>
                <w:color w:val="auto"/>
                <w:sz w:val="24"/>
                <w:szCs w:val="24"/>
                <w:highlight w:val="none"/>
                <w:u w:val="none"/>
                <w:lang w:val="en-US" w:eastAsia="zh-CN"/>
              </w:rPr>
            </w:pPr>
            <w:r>
              <w:rPr>
                <w:rFonts w:hint="eastAsia" w:ascii="Times New Roman" w:hAnsi="Times New Roman" w:eastAsia="仿宋" w:cs="仿宋"/>
                <w:color w:val="auto"/>
                <w:sz w:val="24"/>
                <w:szCs w:val="24"/>
                <w:highlight w:val="none"/>
                <w:u w:val="none"/>
                <w:lang w:val="en-US" w:eastAsia="zh-CN"/>
              </w:rPr>
              <w:t>61.11%</w:t>
            </w:r>
          </w:p>
        </w:tc>
      </w:tr>
      <w:tr w14:paraId="342ED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248" w:type="pct"/>
            <w:shd w:val="clear" w:color="auto" w:fill="auto"/>
            <w:tcMar>
              <w:top w:w="10" w:type="dxa"/>
              <w:left w:w="10" w:type="dxa"/>
              <w:right w:w="10" w:type="dxa"/>
            </w:tcMar>
            <w:vAlign w:val="center"/>
          </w:tcPr>
          <w:p w14:paraId="26258E6B">
            <w:pPr>
              <w:bidi w:val="0"/>
              <w:spacing w:line="240" w:lineRule="auto"/>
              <w:ind w:firstLine="0" w:firstLineChars="0"/>
              <w:jc w:val="center"/>
              <w:rPr>
                <w:rFonts w:hint="eastAsia" w:ascii="Times New Roman" w:hAnsi="Times New Roman" w:eastAsia="仿宋" w:cs="仿宋"/>
                <w:color w:val="auto"/>
                <w:sz w:val="24"/>
                <w:szCs w:val="24"/>
                <w:highlight w:val="none"/>
                <w:u w:val="none"/>
                <w:lang w:val="en-US" w:eastAsia="zh-CN"/>
              </w:rPr>
            </w:pPr>
            <w:r>
              <w:rPr>
                <w:rFonts w:hint="eastAsia" w:ascii="Times New Roman" w:hAnsi="Times New Roman" w:eastAsia="仿宋" w:cs="仿宋"/>
                <w:color w:val="auto"/>
                <w:sz w:val="24"/>
                <w:szCs w:val="24"/>
                <w:highlight w:val="none"/>
                <w:u w:val="none"/>
                <w:lang w:val="en-US" w:eastAsia="zh-CN"/>
              </w:rPr>
              <w:t>合计</w:t>
            </w:r>
          </w:p>
        </w:tc>
        <w:tc>
          <w:tcPr>
            <w:tcW w:w="2213" w:type="dxa"/>
            <w:shd w:val="clear" w:color="auto" w:fill="auto"/>
            <w:tcMar>
              <w:top w:w="10" w:type="dxa"/>
              <w:left w:w="10" w:type="dxa"/>
              <w:right w:w="10" w:type="dxa"/>
            </w:tcMar>
            <w:vAlign w:val="center"/>
          </w:tcPr>
          <w:p w14:paraId="65A92846">
            <w:pPr>
              <w:keepNext w:val="0"/>
              <w:keepLines w:val="0"/>
              <w:widowControl/>
              <w:suppressLineNumbers w:val="0"/>
              <w:spacing w:line="240" w:lineRule="auto"/>
              <w:ind w:firstLine="0" w:firstLineChars="0"/>
              <w:jc w:val="center"/>
              <w:textAlignment w:val="center"/>
              <w:rPr>
                <w:rFonts w:hint="eastAsia" w:ascii="Times New Roman" w:hAnsi="Times New Roman" w:eastAsia="仿宋" w:cs="仿宋"/>
                <w:i w:val="0"/>
                <w:iCs w:val="0"/>
                <w:color w:val="auto"/>
                <w:kern w:val="0"/>
                <w:sz w:val="24"/>
                <w:szCs w:val="24"/>
                <w:highlight w:val="none"/>
                <w:u w:val="none"/>
                <w:lang w:val="en-US" w:eastAsia="zh-CN" w:bidi="ar"/>
              </w:rPr>
            </w:pPr>
            <w:r>
              <w:rPr>
                <w:rFonts w:hint="eastAsia" w:ascii="Times New Roman" w:hAnsi="Times New Roman" w:eastAsia="仿宋" w:cs="仿宋"/>
                <w:i w:val="0"/>
                <w:iCs w:val="0"/>
                <w:color w:val="auto"/>
                <w:kern w:val="0"/>
                <w:sz w:val="24"/>
                <w:szCs w:val="24"/>
                <w:highlight w:val="none"/>
                <w:u w:val="none"/>
                <w:lang w:val="en-US" w:eastAsia="zh-CN" w:bidi="ar"/>
              </w:rPr>
              <w:t>100.00</w:t>
            </w:r>
          </w:p>
        </w:tc>
        <w:tc>
          <w:tcPr>
            <w:tcW w:w="2213" w:type="dxa"/>
            <w:shd w:val="clear" w:color="auto" w:fill="auto"/>
            <w:tcMar>
              <w:top w:w="10" w:type="dxa"/>
              <w:left w:w="10" w:type="dxa"/>
              <w:right w:w="10" w:type="dxa"/>
            </w:tcMar>
            <w:vAlign w:val="center"/>
          </w:tcPr>
          <w:p w14:paraId="246EF789">
            <w:pPr>
              <w:keepNext w:val="0"/>
              <w:keepLines w:val="0"/>
              <w:widowControl/>
              <w:suppressLineNumbers w:val="0"/>
              <w:spacing w:line="240" w:lineRule="auto"/>
              <w:ind w:firstLine="0" w:firstLineChars="0"/>
              <w:jc w:val="center"/>
              <w:textAlignment w:val="center"/>
              <w:rPr>
                <w:rFonts w:hint="eastAsia" w:ascii="Times New Roman" w:hAnsi="Times New Roman" w:eastAsia="仿宋" w:cs="仿宋"/>
                <w:i w:val="0"/>
                <w:iCs w:val="0"/>
                <w:color w:val="auto"/>
                <w:kern w:val="0"/>
                <w:sz w:val="24"/>
                <w:szCs w:val="24"/>
                <w:highlight w:val="none"/>
                <w:u w:val="none"/>
                <w:lang w:val="en-US" w:eastAsia="zh-CN" w:bidi="ar"/>
              </w:rPr>
            </w:pPr>
            <w:r>
              <w:rPr>
                <w:rFonts w:hint="eastAsia" w:ascii="Times New Roman" w:hAnsi="Times New Roman" w:eastAsia="仿宋" w:cs="仿宋"/>
                <w:i w:val="0"/>
                <w:iCs w:val="0"/>
                <w:color w:val="auto"/>
                <w:kern w:val="0"/>
                <w:sz w:val="24"/>
                <w:szCs w:val="24"/>
                <w:highlight w:val="none"/>
                <w:u w:val="none"/>
                <w:lang w:val="en-US" w:eastAsia="zh-CN" w:bidi="ar"/>
              </w:rPr>
              <w:t>67.02</w:t>
            </w:r>
          </w:p>
        </w:tc>
        <w:tc>
          <w:tcPr>
            <w:tcW w:w="2222" w:type="dxa"/>
            <w:shd w:val="clear" w:color="auto" w:fill="auto"/>
            <w:tcMar>
              <w:top w:w="10" w:type="dxa"/>
              <w:left w:w="10" w:type="dxa"/>
              <w:right w:w="10" w:type="dxa"/>
            </w:tcMar>
            <w:vAlign w:val="center"/>
          </w:tcPr>
          <w:p w14:paraId="1F81F2EE">
            <w:pPr>
              <w:keepNext w:val="0"/>
              <w:keepLines w:val="0"/>
              <w:widowControl/>
              <w:suppressLineNumbers w:val="0"/>
              <w:spacing w:line="240" w:lineRule="auto"/>
              <w:ind w:firstLine="0" w:firstLineChars="0"/>
              <w:jc w:val="center"/>
              <w:textAlignment w:val="center"/>
              <w:rPr>
                <w:rFonts w:hint="eastAsia" w:ascii="Times New Roman" w:hAnsi="Times New Roman" w:eastAsia="仿宋" w:cs="仿宋"/>
                <w:i w:val="0"/>
                <w:iCs w:val="0"/>
                <w:color w:val="auto"/>
                <w:kern w:val="0"/>
                <w:sz w:val="24"/>
                <w:szCs w:val="24"/>
                <w:highlight w:val="none"/>
                <w:u w:val="none"/>
                <w:lang w:val="en-US" w:eastAsia="zh-CN" w:bidi="ar"/>
              </w:rPr>
            </w:pPr>
            <w:r>
              <w:rPr>
                <w:rFonts w:hint="eastAsia" w:ascii="Times New Roman" w:hAnsi="Times New Roman" w:eastAsia="仿宋" w:cs="仿宋"/>
                <w:i w:val="0"/>
                <w:iCs w:val="0"/>
                <w:color w:val="auto"/>
                <w:kern w:val="0"/>
                <w:sz w:val="24"/>
                <w:szCs w:val="24"/>
                <w:highlight w:val="none"/>
                <w:u w:val="none"/>
                <w:lang w:val="en-US" w:eastAsia="zh-CN" w:bidi="ar"/>
              </w:rPr>
              <w:t>67.02%</w:t>
            </w:r>
          </w:p>
        </w:tc>
      </w:tr>
      <w:tr w14:paraId="1EFFF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000" w:type="pct"/>
            <w:gridSpan w:val="4"/>
            <w:shd w:val="clear" w:color="auto" w:fill="auto"/>
            <w:tcMar>
              <w:top w:w="10" w:type="dxa"/>
              <w:left w:w="10" w:type="dxa"/>
              <w:right w:w="10" w:type="dxa"/>
            </w:tcMar>
            <w:vAlign w:val="center"/>
          </w:tcPr>
          <w:p w14:paraId="690C3F67">
            <w:pPr>
              <w:bidi w:val="0"/>
              <w:spacing w:line="240" w:lineRule="auto"/>
              <w:ind w:firstLine="0" w:firstLineChars="0"/>
              <w:jc w:val="center"/>
              <w:rPr>
                <w:rFonts w:hint="eastAsia" w:ascii="Times New Roman" w:hAnsi="Times New Roman" w:eastAsia="仿宋" w:cs="仿宋"/>
                <w:color w:val="auto"/>
                <w:sz w:val="24"/>
                <w:szCs w:val="24"/>
                <w:highlight w:val="none"/>
                <w:u w:val="none"/>
                <w:lang w:val="en-US" w:eastAsia="zh-CN"/>
              </w:rPr>
            </w:pPr>
            <w:r>
              <w:rPr>
                <w:rFonts w:hint="eastAsia" w:ascii="Times New Roman" w:hAnsi="Times New Roman" w:eastAsia="仿宋" w:cs="仿宋"/>
                <w:b/>
                <w:bCs/>
                <w:color w:val="auto"/>
                <w:sz w:val="24"/>
                <w:szCs w:val="24"/>
                <w:highlight w:val="none"/>
                <w:u w:val="none"/>
                <w:lang w:val="en-US" w:eastAsia="zh-CN"/>
              </w:rPr>
              <w:t>绩效评价得分：67.02   综合评价结果等级：C</w:t>
            </w:r>
          </w:p>
        </w:tc>
      </w:tr>
    </w:tbl>
    <w:p w14:paraId="3E35ED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三、</w:t>
      </w:r>
      <w:r>
        <w:rPr>
          <w:rFonts w:hint="eastAsia" w:ascii="Times New Roman" w:hAnsi="Times New Roman" w:eastAsia="黑体" w:cs="黑体"/>
          <w:color w:val="auto"/>
          <w:sz w:val="32"/>
          <w:szCs w:val="32"/>
          <w:highlight w:val="none"/>
          <w:lang w:val="en-US" w:eastAsia="zh-CN"/>
        </w:rPr>
        <w:t>存在的问题</w:t>
      </w:r>
    </w:p>
    <w:p w14:paraId="58B7B059">
      <w:pPr>
        <w:pStyle w:val="4"/>
        <w:keepNext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b w:val="0"/>
          <w:bCs/>
          <w:color w:val="auto"/>
          <w:sz w:val="32"/>
          <w:szCs w:val="32"/>
          <w:highlight w:val="none"/>
          <w:lang w:val="en-US" w:eastAsia="zh-CN"/>
        </w:rPr>
      </w:pPr>
      <w:bookmarkStart w:id="0" w:name="_Toc13902"/>
      <w:bookmarkStart w:id="1" w:name="_Toc19327"/>
      <w:bookmarkStart w:id="2" w:name="_Toc11513"/>
      <w:bookmarkStart w:id="3" w:name="_Toc20812"/>
      <w:r>
        <w:rPr>
          <w:rFonts w:hint="eastAsia" w:ascii="Times New Roman" w:hAnsi="Times New Roman" w:eastAsia="楷体_GB2312" w:cs="楷体_GB2312"/>
          <w:b w:val="0"/>
          <w:bCs/>
          <w:color w:val="auto"/>
          <w:sz w:val="32"/>
          <w:szCs w:val="32"/>
          <w:highlight w:val="none"/>
          <w:lang w:val="en-US" w:eastAsia="zh-CN"/>
        </w:rPr>
        <w:t>（一）工期管理失效导致建设进度严重滞后</w:t>
      </w:r>
      <w:bookmarkEnd w:id="0"/>
    </w:p>
    <w:p w14:paraId="07CFCC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项目建筑施工许可证获批日期为2024年4月30日，但许可证载明的合同工期却为2024年3月25日至2025年1月18日，许可证实际晚于合同开工日36天；截至2025年6月12日，3号厂房仅完成地基，整体已超合同工期145天。前期手续的滞后直接压缩了有效施工时间，叠加雨季、施工组织不到位等因素，造成进度过慢。</w:t>
      </w:r>
    </w:p>
    <w:bookmarkEnd w:id="1"/>
    <w:bookmarkEnd w:id="2"/>
    <w:bookmarkEnd w:id="3"/>
    <w:p w14:paraId="71FE2B14">
      <w:pPr>
        <w:pStyle w:val="4"/>
        <w:keepNext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b w:val="0"/>
          <w:bCs/>
          <w:color w:val="auto"/>
          <w:sz w:val="32"/>
          <w:szCs w:val="32"/>
          <w:highlight w:val="none"/>
          <w:lang w:val="en-US" w:eastAsia="zh-CN"/>
        </w:rPr>
      </w:pPr>
      <w:bookmarkStart w:id="4" w:name="_Toc30177"/>
      <w:bookmarkStart w:id="5" w:name="_Toc12177"/>
      <w:bookmarkStart w:id="6" w:name="_Toc29698"/>
      <w:bookmarkStart w:id="7" w:name="_Toc21952"/>
      <w:bookmarkStart w:id="8" w:name="_Toc7372"/>
      <w:bookmarkStart w:id="9" w:name="_Toc19001"/>
      <w:bookmarkStart w:id="10" w:name="_Toc27080"/>
      <w:r>
        <w:rPr>
          <w:rFonts w:hint="eastAsia" w:ascii="Times New Roman" w:hAnsi="Times New Roman" w:eastAsia="楷体_GB2312" w:cs="楷体_GB2312"/>
          <w:b w:val="0"/>
          <w:bCs/>
          <w:color w:val="auto"/>
          <w:sz w:val="32"/>
          <w:szCs w:val="32"/>
          <w:highlight w:val="none"/>
          <w:lang w:val="en-US" w:eastAsia="zh-CN"/>
        </w:rPr>
        <w:t>（二）2024年专项债利息未缴纳</w:t>
      </w:r>
      <w:bookmarkEnd w:id="4"/>
      <w:bookmarkEnd w:id="5"/>
      <w:bookmarkEnd w:id="6"/>
      <w:r>
        <w:rPr>
          <w:rFonts w:hint="eastAsia" w:ascii="Times New Roman" w:hAnsi="Times New Roman" w:eastAsia="楷体_GB2312" w:cs="楷体_GB2312"/>
          <w:b w:val="0"/>
          <w:bCs/>
          <w:color w:val="auto"/>
          <w:sz w:val="32"/>
          <w:szCs w:val="32"/>
          <w:highlight w:val="none"/>
          <w:lang w:val="en-US" w:eastAsia="zh-CN"/>
        </w:rPr>
        <w:t>，存在债务偿还风险</w:t>
      </w:r>
      <w:bookmarkEnd w:id="7"/>
    </w:p>
    <w:p w14:paraId="5A424A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地方政府债券本金、利息和相关费用由各级财政部门负责组织项目单位偿还，其中专项债券本金、利息和相关费用通过项目自身产生的收益偿还。使用专项债券资金的项目单位应及时足额向同级财政缴纳应当承担的债券还本付息等资金。截至2025年6月12日，西乡县城市发展投资开发有限公司尚未履行2024年度的利息缴纳义务，具体如下：2025年3月19日，项目已产生逾期利息43.32万元尚未缴纳。虽金额绝对值有限，但已实质突破“项目收益自求平衡”的专项债券核心原则，形成新的财政兜底预期，构成隐性债务风险；同时触发省级债务监测平台红色预警，对后续批次专项债券申报及额度争取造成不利影响。</w:t>
      </w:r>
    </w:p>
    <w:p w14:paraId="37F9E5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综上，西乡县城市发展投资开发有限公司未按照规定时间、规定金额向西乡县财政局缴纳专项债利息，存在一定的债务偿还风险。</w:t>
      </w:r>
    </w:p>
    <w:p w14:paraId="0A29BC79">
      <w:pPr>
        <w:pStyle w:val="4"/>
        <w:keepNext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b w:val="0"/>
          <w:bCs/>
          <w:color w:val="auto"/>
          <w:sz w:val="32"/>
          <w:szCs w:val="32"/>
          <w:highlight w:val="none"/>
          <w:lang w:val="en-US" w:eastAsia="zh-CN"/>
        </w:rPr>
      </w:pPr>
      <w:bookmarkStart w:id="11" w:name="_Toc27402"/>
      <w:r>
        <w:rPr>
          <w:rFonts w:hint="eastAsia" w:ascii="Times New Roman" w:hAnsi="Times New Roman" w:eastAsia="楷体_GB2312" w:cs="楷体_GB2312"/>
          <w:b w:val="0"/>
          <w:bCs/>
          <w:color w:val="auto"/>
          <w:sz w:val="32"/>
          <w:szCs w:val="32"/>
          <w:highlight w:val="none"/>
          <w:lang w:val="en-US" w:eastAsia="zh-CN"/>
        </w:rPr>
        <w:t>（三）</w:t>
      </w:r>
      <w:bookmarkEnd w:id="8"/>
      <w:bookmarkEnd w:id="9"/>
      <w:bookmarkEnd w:id="10"/>
      <w:r>
        <w:rPr>
          <w:rFonts w:hint="eastAsia" w:ascii="Times New Roman" w:hAnsi="Times New Roman" w:eastAsia="楷体_GB2312" w:cs="楷体_GB2312"/>
          <w:b w:val="0"/>
          <w:bCs/>
          <w:color w:val="auto"/>
          <w:sz w:val="32"/>
          <w:szCs w:val="32"/>
          <w:highlight w:val="none"/>
          <w:lang w:val="en-US" w:eastAsia="zh-CN"/>
        </w:rPr>
        <w:t>自筹资金到位率偏低，收益测算过于乐观，项目存在资金链与偿债双重风险</w:t>
      </w:r>
      <w:bookmarkEnd w:id="11"/>
    </w:p>
    <w:p w14:paraId="00EF95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kern w:val="2"/>
          <w:sz w:val="32"/>
          <w:szCs w:val="32"/>
          <w:lang w:val="en-US" w:eastAsia="zh-CN" w:bidi="ar-SA"/>
        </w:rPr>
      </w:pPr>
      <w:bookmarkStart w:id="12" w:name="_Toc26395"/>
      <w:bookmarkStart w:id="13" w:name="_Toc28820"/>
      <w:bookmarkStart w:id="14" w:name="_Toc4112"/>
      <w:r>
        <w:rPr>
          <w:rFonts w:hint="eastAsia" w:ascii="Times New Roman" w:hAnsi="Times New Roman" w:eastAsia="仿宋_GB2312" w:cs="仿宋_GB2312"/>
          <w:kern w:val="2"/>
          <w:sz w:val="32"/>
          <w:szCs w:val="32"/>
          <w:lang w:val="en-US" w:eastAsia="zh-CN" w:bidi="ar-SA"/>
        </w:rPr>
        <w:t>该项目概算总投资7,622.16万元，其中需自筹3,822.16万元（占比50.15%）。截至评价日项目建设期内仅到位1,485万元（为苏陕协作资金），无自有资金，到位率38.85%，缺口2,337.16万元；同时实施方案将厂房租金设定为26元/㎡/月，远高于西乡县实际3元/㎡/月及西安周边21.74元/㎡/月的水平，收益严重虚高。自筹不足与收益虚高叠加，可能会导致建设后期资金断链、运营期难以还本付息。</w:t>
      </w:r>
    </w:p>
    <w:bookmarkEnd w:id="12"/>
    <w:bookmarkEnd w:id="13"/>
    <w:bookmarkEnd w:id="14"/>
    <w:p w14:paraId="2BF12EE3">
      <w:pPr>
        <w:pStyle w:val="5"/>
        <w:keepNext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lang w:val="en-US" w:eastAsia="zh-CN"/>
        </w:rPr>
        <w:t>四、有关建议</w:t>
      </w:r>
    </w:p>
    <w:p w14:paraId="3CC7A582">
      <w:pPr>
        <w:pStyle w:val="4"/>
        <w:keepNext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b w:val="0"/>
          <w:bCs/>
          <w:color w:val="auto"/>
          <w:sz w:val="32"/>
          <w:szCs w:val="32"/>
          <w:highlight w:val="none"/>
          <w:lang w:val="en-US" w:eastAsia="zh-CN"/>
        </w:rPr>
      </w:pPr>
      <w:bookmarkStart w:id="15" w:name="_Toc1982"/>
      <w:bookmarkStart w:id="16" w:name="_Toc10624"/>
      <w:bookmarkStart w:id="17" w:name="_Toc27901"/>
      <w:bookmarkStart w:id="18" w:name="_Toc6801"/>
      <w:r>
        <w:rPr>
          <w:rFonts w:hint="eastAsia" w:ascii="Times New Roman" w:hAnsi="Times New Roman" w:eastAsia="楷体_GB2312" w:cs="楷体_GB2312"/>
          <w:b w:val="0"/>
          <w:bCs/>
          <w:color w:val="auto"/>
          <w:sz w:val="32"/>
          <w:szCs w:val="32"/>
          <w:highlight w:val="none"/>
          <w:lang w:val="en-US" w:eastAsia="zh-CN"/>
        </w:rPr>
        <w:t>（一）建立全过程进度管控体系</w:t>
      </w:r>
      <w:bookmarkEnd w:id="15"/>
    </w:p>
    <w:p w14:paraId="01C996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1.重构工期管理机制</w:t>
      </w:r>
    </w:p>
    <w:p w14:paraId="19BF43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建立“项目前期手续红绿灯预警机制”。由专项债申报批复的相关部门联合成立前期工作专班，把可研批复、环评、稳评、用地规划、工程规划、施工图审查、预算评审、招投标、施工许可等9个关键节点全部纳入西乡县重点项目智慧监管平台，实行节点亮灯提醒、黄灯预警、红灯通报制度；对连续两次亮红灯的责任单位启动约谈，必要时移交纪委监委督查。</w:t>
      </w:r>
    </w:p>
    <w:p w14:paraId="1231E9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2.实施动态资源调度</w:t>
      </w:r>
    </w:p>
    <w:p w14:paraId="5D6152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对施工进度较慢的3号厂房增派施工工人，配置双班组轮替施工。强化施工过程动态纠偏。由城投公司聘请第三方项目管理公司，对剩余工程量进行倒排工期，每周滚动更新；对关键线路上的3号厂房实行“日统计、周调度”，并与总包签订补充协议，明确每延误1天按合同价款万分之三计取违约金，提前完工则按同等标准奖励。通过以上措施，力争把滞后的145天压缩至50天以内，确保2025年10月底前全部完工。</w:t>
      </w:r>
    </w:p>
    <w:p w14:paraId="215DBEEF">
      <w:pPr>
        <w:pStyle w:val="4"/>
        <w:keepNext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楷体_GB2312"/>
          <w:b w:val="0"/>
          <w:bCs/>
          <w:color w:val="auto"/>
          <w:sz w:val="32"/>
          <w:szCs w:val="32"/>
          <w:highlight w:val="none"/>
          <w:lang w:val="en-US" w:eastAsia="zh-CN"/>
        </w:rPr>
      </w:pPr>
      <w:bookmarkStart w:id="19" w:name="_Toc31474"/>
      <w:r>
        <w:rPr>
          <w:rFonts w:hint="eastAsia" w:ascii="Times New Roman" w:hAnsi="Times New Roman" w:eastAsia="楷体_GB2312" w:cs="楷体_GB2312"/>
          <w:b w:val="0"/>
          <w:bCs/>
          <w:color w:val="auto"/>
          <w:sz w:val="32"/>
          <w:szCs w:val="32"/>
          <w:highlight w:val="none"/>
          <w:lang w:val="en-US" w:eastAsia="zh-CN"/>
        </w:rPr>
        <w:t>（二）制定利息偿还方案，建立债务偿还应急机制</w:t>
      </w:r>
      <w:bookmarkEnd w:id="19"/>
    </w:p>
    <w:p w14:paraId="4718D0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建议西乡县财政局一是</w:t>
      </w:r>
      <w:r>
        <w:rPr>
          <w:rFonts w:hint="default" w:ascii="Times New Roman" w:hAnsi="Times New Roman" w:eastAsia="仿宋_GB2312" w:cs="仿宋_GB2312"/>
          <w:kern w:val="2"/>
          <w:sz w:val="32"/>
          <w:szCs w:val="32"/>
          <w:lang w:val="en-US" w:eastAsia="zh-CN" w:bidi="ar-SA"/>
        </w:rPr>
        <w:t>与</w:t>
      </w:r>
      <w:r>
        <w:rPr>
          <w:rFonts w:hint="eastAsia" w:ascii="Times New Roman" w:hAnsi="Times New Roman" w:eastAsia="仿宋_GB2312" w:cs="仿宋_GB2312"/>
          <w:kern w:val="2"/>
          <w:sz w:val="32"/>
          <w:szCs w:val="32"/>
          <w:lang w:val="en-US" w:eastAsia="zh-CN" w:bidi="ar-SA"/>
        </w:rPr>
        <w:t>西乡县城市发展投资开发有限公司</w:t>
      </w:r>
      <w:r>
        <w:rPr>
          <w:rFonts w:hint="default" w:ascii="Times New Roman" w:hAnsi="Times New Roman" w:eastAsia="仿宋_GB2312" w:cs="仿宋_GB2312"/>
          <w:kern w:val="2"/>
          <w:sz w:val="32"/>
          <w:szCs w:val="32"/>
          <w:lang w:val="en-US" w:eastAsia="zh-CN" w:bidi="ar-SA"/>
        </w:rPr>
        <w:t>进行沟通，</w:t>
      </w:r>
      <w:r>
        <w:rPr>
          <w:rFonts w:hint="eastAsia" w:ascii="Times New Roman" w:hAnsi="Times New Roman" w:eastAsia="仿宋_GB2312" w:cs="仿宋_GB2312"/>
          <w:kern w:val="2"/>
          <w:sz w:val="32"/>
          <w:szCs w:val="32"/>
          <w:lang w:val="en-US" w:eastAsia="zh-CN" w:bidi="ar-SA"/>
        </w:rPr>
        <w:t>掌握利息</w:t>
      </w:r>
      <w:r>
        <w:rPr>
          <w:rFonts w:hint="default" w:ascii="Times New Roman" w:hAnsi="Times New Roman" w:eastAsia="仿宋_GB2312" w:cs="仿宋_GB2312"/>
          <w:kern w:val="2"/>
          <w:sz w:val="32"/>
          <w:szCs w:val="32"/>
          <w:lang w:val="en-US" w:eastAsia="zh-CN" w:bidi="ar-SA"/>
        </w:rPr>
        <w:t>延迟</w:t>
      </w:r>
      <w:r>
        <w:rPr>
          <w:rFonts w:hint="eastAsia" w:ascii="Times New Roman" w:hAnsi="Times New Roman" w:eastAsia="仿宋_GB2312" w:cs="仿宋_GB2312"/>
          <w:kern w:val="2"/>
          <w:sz w:val="32"/>
          <w:szCs w:val="32"/>
          <w:lang w:val="en-US" w:eastAsia="zh-CN" w:bidi="ar-SA"/>
        </w:rPr>
        <w:t>缴纳</w:t>
      </w:r>
      <w:r>
        <w:rPr>
          <w:rFonts w:hint="default" w:ascii="Times New Roman" w:hAnsi="Times New Roman" w:eastAsia="仿宋_GB2312" w:cs="仿宋_GB2312"/>
          <w:kern w:val="2"/>
          <w:sz w:val="32"/>
          <w:szCs w:val="32"/>
          <w:lang w:val="en-US" w:eastAsia="zh-CN" w:bidi="ar-SA"/>
        </w:rPr>
        <w:t>的原因，</w:t>
      </w:r>
      <w:r>
        <w:rPr>
          <w:rFonts w:hint="eastAsia" w:ascii="Times New Roman" w:hAnsi="Times New Roman" w:eastAsia="仿宋_GB2312" w:cs="仿宋_GB2312"/>
          <w:kern w:val="2"/>
          <w:sz w:val="32"/>
          <w:szCs w:val="32"/>
          <w:lang w:val="en-US" w:eastAsia="zh-CN" w:bidi="ar-SA"/>
        </w:rPr>
        <w:t>协助其</w:t>
      </w:r>
      <w:r>
        <w:rPr>
          <w:rFonts w:hint="default" w:ascii="Times New Roman" w:hAnsi="Times New Roman" w:eastAsia="仿宋_GB2312" w:cs="仿宋_GB2312"/>
          <w:kern w:val="2"/>
          <w:sz w:val="32"/>
          <w:szCs w:val="32"/>
          <w:lang w:val="en-US" w:eastAsia="zh-CN" w:bidi="ar-SA"/>
        </w:rPr>
        <w:t>制定</w:t>
      </w:r>
      <w:r>
        <w:rPr>
          <w:rFonts w:hint="eastAsia" w:ascii="Times New Roman" w:hAnsi="Times New Roman" w:eastAsia="仿宋_GB2312" w:cs="仿宋_GB2312"/>
          <w:kern w:val="2"/>
          <w:sz w:val="32"/>
          <w:szCs w:val="32"/>
          <w:lang w:val="en-US" w:eastAsia="zh-CN" w:bidi="ar-SA"/>
        </w:rPr>
        <w:t>并落实利息偿还方案，包括具体</w:t>
      </w:r>
      <w:r>
        <w:rPr>
          <w:rFonts w:hint="default" w:ascii="Times New Roman" w:hAnsi="Times New Roman" w:eastAsia="仿宋_GB2312" w:cs="仿宋_GB2312"/>
          <w:kern w:val="2"/>
          <w:sz w:val="32"/>
          <w:szCs w:val="32"/>
          <w:lang w:val="en-US" w:eastAsia="zh-CN" w:bidi="ar-SA"/>
        </w:rPr>
        <w:t>的偿还计划，偿还时间和金额，</w:t>
      </w:r>
      <w:r>
        <w:rPr>
          <w:rFonts w:hint="eastAsia" w:ascii="Times New Roman" w:hAnsi="Times New Roman" w:eastAsia="仿宋_GB2312" w:cs="仿宋_GB2312"/>
          <w:kern w:val="2"/>
          <w:sz w:val="32"/>
          <w:szCs w:val="32"/>
          <w:lang w:val="en-US" w:eastAsia="zh-CN" w:bidi="ar-SA"/>
        </w:rPr>
        <w:t>确保</w:t>
      </w:r>
      <w:r>
        <w:rPr>
          <w:rFonts w:hint="default" w:ascii="Times New Roman" w:hAnsi="Times New Roman" w:eastAsia="仿宋_GB2312" w:cs="仿宋_GB2312"/>
          <w:kern w:val="2"/>
          <w:sz w:val="32"/>
          <w:szCs w:val="32"/>
          <w:lang w:val="en-US" w:eastAsia="zh-CN" w:bidi="ar-SA"/>
        </w:rPr>
        <w:t>尽快履行</w:t>
      </w:r>
      <w:r>
        <w:rPr>
          <w:rFonts w:hint="eastAsia" w:ascii="Times New Roman" w:hAnsi="Times New Roman" w:eastAsia="仿宋_GB2312" w:cs="仿宋_GB2312"/>
          <w:kern w:val="2"/>
          <w:sz w:val="32"/>
          <w:szCs w:val="32"/>
          <w:lang w:val="en-US" w:eastAsia="zh-CN" w:bidi="ar-SA"/>
        </w:rPr>
        <w:t>缴纳</w:t>
      </w:r>
      <w:r>
        <w:rPr>
          <w:rFonts w:hint="default" w:ascii="Times New Roman" w:hAnsi="Times New Roman" w:eastAsia="仿宋_GB2312" w:cs="仿宋_GB2312"/>
          <w:kern w:val="2"/>
          <w:sz w:val="32"/>
          <w:szCs w:val="32"/>
          <w:lang w:val="en-US" w:eastAsia="zh-CN" w:bidi="ar-SA"/>
        </w:rPr>
        <w:t>义务</w:t>
      </w:r>
      <w:r>
        <w:rPr>
          <w:rFonts w:hint="eastAsia" w:ascii="Times New Roman" w:hAnsi="Times New Roman" w:eastAsia="仿宋_GB2312" w:cs="仿宋_GB2312"/>
          <w:kern w:val="2"/>
          <w:sz w:val="32"/>
          <w:szCs w:val="32"/>
          <w:lang w:val="en-US" w:eastAsia="zh-CN" w:bidi="ar-SA"/>
        </w:rPr>
        <w:t>。二是建立债务偿还的应急预案</w:t>
      </w:r>
      <w:r>
        <w:rPr>
          <w:rFonts w:hint="default" w:ascii="Times New Roman" w:hAnsi="Times New Roman" w:eastAsia="仿宋_GB2312" w:cs="仿宋_GB2312"/>
          <w:kern w:val="2"/>
          <w:sz w:val="32"/>
          <w:szCs w:val="32"/>
          <w:lang w:val="en-US" w:eastAsia="zh-CN" w:bidi="ar-SA"/>
        </w:rPr>
        <w:t>，以应对未来可能出现的类似情况</w:t>
      </w:r>
      <w:r>
        <w:rPr>
          <w:rFonts w:hint="eastAsia" w:ascii="Times New Roman" w:hAnsi="Times New Roman" w:eastAsia="仿宋_GB2312" w:cs="仿宋_GB2312"/>
          <w:kern w:val="2"/>
          <w:sz w:val="32"/>
          <w:szCs w:val="32"/>
          <w:lang w:val="en-US" w:eastAsia="zh-CN" w:bidi="ar-SA"/>
        </w:rPr>
        <w:t>。</w:t>
      </w:r>
    </w:p>
    <w:p w14:paraId="31A219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1.立即启动“专项债券偿债备付金制度”。由西乡县城市发展投资开发有限公司牵头，县财政、国资、金融办共同参与，设立规模不低于200万元的“专项债偿债备付金”，资金来源包括：项目公司经营性收入等。该资金池实行封闭运行、财政监管、银行托管，确保每年2月底前锁定全年应付利息。</w:t>
      </w:r>
    </w:p>
    <w:p w14:paraId="0CCE6E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2.重构项目收益模型并签订“收益补足协议”。委托具有证券期货资质的评估机构，对厂房租金等未来可能产生的盈利现金流重新测算，形成保守、中性、乐观三套方案；并以保守方案为底线，由西乡县城市发展投资开发有限公司与县财政、主管部门签订三方协议：当项目净收益不足以覆盖当年应付本息时，首先启用备付金；仍不足的，由西乡县城市发展投资开发有限公司在30天内通过盘活存量资产或申请县级国有资本经营预算补足，确保不发生财政垫付。</w:t>
      </w:r>
    </w:p>
    <w:p w14:paraId="1DB4AC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3.建立“债务履约红黑名单”。县财政局对专项债项目单位实行债务履约台账管理，将还本付息情况纳入县级国有企业负责人经营业绩考核权重不低于30%，并与薪酬、评优、职级晋升挂钩；对连续两年零逾期的企业，优先安排新增额度和贴息补助；对出现逾期的，暂停其所有财政资金申请资格，必要时启动问责程序。通过制度倒逼，彻底消除“财政兜底”预期。</w:t>
      </w:r>
    </w:p>
    <w:bookmarkEnd w:id="16"/>
    <w:bookmarkEnd w:id="17"/>
    <w:bookmarkEnd w:id="18"/>
    <w:p w14:paraId="23AED646">
      <w:pPr>
        <w:pStyle w:val="4"/>
        <w:keepNext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楷体_GB2312"/>
          <w:b w:val="0"/>
          <w:bCs/>
          <w:color w:val="auto"/>
          <w:sz w:val="32"/>
          <w:szCs w:val="32"/>
          <w:highlight w:val="none"/>
          <w:lang w:val="en-US" w:eastAsia="zh-CN"/>
        </w:rPr>
      </w:pPr>
      <w:bookmarkStart w:id="20" w:name="_Toc7133"/>
      <w:bookmarkStart w:id="21" w:name="_Toc24840"/>
      <w:bookmarkStart w:id="22" w:name="_Toc27542"/>
      <w:bookmarkStart w:id="23" w:name="_Toc10034"/>
      <w:r>
        <w:rPr>
          <w:rFonts w:hint="eastAsia" w:ascii="Times New Roman" w:hAnsi="Times New Roman" w:eastAsia="楷体_GB2312" w:cs="楷体_GB2312"/>
          <w:b w:val="0"/>
          <w:bCs/>
          <w:color w:val="auto"/>
          <w:sz w:val="32"/>
          <w:szCs w:val="32"/>
          <w:highlight w:val="none"/>
          <w:lang w:val="en-US" w:eastAsia="zh-CN"/>
        </w:rPr>
        <w:t>（三）</w:t>
      </w:r>
      <w:bookmarkEnd w:id="20"/>
      <w:bookmarkEnd w:id="21"/>
      <w:bookmarkEnd w:id="22"/>
      <w:r>
        <w:rPr>
          <w:rFonts w:hint="eastAsia" w:ascii="Times New Roman" w:hAnsi="Times New Roman" w:eastAsia="楷体_GB2312" w:cs="楷体_GB2312"/>
          <w:b w:val="0"/>
          <w:bCs/>
          <w:color w:val="auto"/>
          <w:sz w:val="32"/>
          <w:szCs w:val="32"/>
          <w:highlight w:val="none"/>
          <w:lang w:val="en-US" w:eastAsia="zh-CN"/>
        </w:rPr>
        <w:t>优化融资结构，探索多元化的融资方式</w:t>
      </w:r>
      <w:bookmarkEnd w:id="23"/>
    </w:p>
    <w:p w14:paraId="250A6A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kern w:val="2"/>
          <w:sz w:val="32"/>
          <w:szCs w:val="32"/>
          <w:lang w:val="en-US" w:eastAsia="zh-CN" w:bidi="ar-SA"/>
        </w:rPr>
      </w:pPr>
      <w:bookmarkStart w:id="24" w:name="_Toc24269"/>
      <w:bookmarkStart w:id="25" w:name="_Toc7852"/>
      <w:bookmarkStart w:id="26" w:name="_Toc3083"/>
      <w:bookmarkStart w:id="27" w:name="_Toc18076"/>
      <w:r>
        <w:rPr>
          <w:rFonts w:hint="eastAsia" w:ascii="Times New Roman" w:hAnsi="Times New Roman" w:eastAsia="仿宋_GB2312" w:cs="仿宋_GB2312"/>
          <w:kern w:val="2"/>
          <w:sz w:val="32"/>
          <w:szCs w:val="32"/>
          <w:lang w:val="en-US" w:eastAsia="zh-CN" w:bidi="ar-SA"/>
        </w:rPr>
        <w:t>建议西乡县城市发展投资开发有限公司一是</w:t>
      </w:r>
      <w:r>
        <w:rPr>
          <w:rFonts w:hint="default" w:ascii="Times New Roman" w:hAnsi="Times New Roman" w:eastAsia="仿宋_GB2312" w:cs="仿宋_GB2312"/>
          <w:kern w:val="2"/>
          <w:sz w:val="32"/>
          <w:szCs w:val="32"/>
          <w:lang w:val="en-US" w:eastAsia="zh-CN" w:bidi="ar-SA"/>
        </w:rPr>
        <w:t>结合</w:t>
      </w:r>
      <w:r>
        <w:rPr>
          <w:rFonts w:hint="eastAsia" w:ascii="Times New Roman" w:hAnsi="Times New Roman" w:eastAsia="仿宋_GB2312" w:cs="仿宋_GB2312"/>
          <w:kern w:val="2"/>
          <w:sz w:val="32"/>
          <w:szCs w:val="32"/>
          <w:lang w:val="en-US" w:eastAsia="zh-CN" w:bidi="ar-SA"/>
        </w:rPr>
        <w:t>产业园建设项目</w:t>
      </w:r>
      <w:r>
        <w:rPr>
          <w:rFonts w:hint="default" w:ascii="Times New Roman" w:hAnsi="Times New Roman" w:eastAsia="仿宋_GB2312" w:cs="仿宋_GB2312"/>
          <w:kern w:val="2"/>
          <w:sz w:val="32"/>
          <w:szCs w:val="32"/>
          <w:lang w:val="en-US" w:eastAsia="zh-CN" w:bidi="ar-SA"/>
        </w:rPr>
        <w:t>及地区特点，探索多元化的资金筹集途径，如私募股权融资、银行贷款、政府补贴和社会资本合作等，以提高市场化融资的比例</w:t>
      </w:r>
      <w:r>
        <w:rPr>
          <w:rFonts w:hint="eastAsia" w:ascii="Times New Roman" w:hAnsi="Times New Roman" w:eastAsia="仿宋_GB2312" w:cs="仿宋_GB2312"/>
          <w:kern w:val="2"/>
          <w:sz w:val="32"/>
          <w:szCs w:val="32"/>
          <w:lang w:val="en-US" w:eastAsia="zh-CN" w:bidi="ar-SA"/>
        </w:rPr>
        <w:t>。二是探索设计入园企业“定制化代建+分期回购”模式，由企业预付30%房款作为建设保证金，既解决资金缺口又锁定目标客户。三是科学论证项目收益，优化招商策略与政策配套。建议委托具备资质的第三方咨询机构，围绕汉中市承接东部产业转移趋势、西乡县在陕南地区的区位优势及产业基础，深入开展区域产业梯度转移、同类产业园区租金水平、目标企业承载能力等专题调研。在此基础上，重新测算项目财务收益模型，合理调整租金定价机制。</w:t>
      </w:r>
    </w:p>
    <w:bookmarkEnd w:id="24"/>
    <w:bookmarkEnd w:id="25"/>
    <w:bookmarkEnd w:id="26"/>
    <w:bookmarkEnd w:id="27"/>
    <w:p w14:paraId="09B8A2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kern w:val="2"/>
          <w:sz w:val="32"/>
          <w:szCs w:val="32"/>
          <w:lang w:val="en-US" w:eastAsia="zh-CN" w:bidi="ar-SA"/>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E5D50BA-AA89-4E64-80F7-720DE461CA7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D038462-DE31-4A2C-8874-EF9B105796DF}"/>
  </w:font>
  <w:font w:name="仿宋">
    <w:panose1 w:val="02010609060101010101"/>
    <w:charset w:val="86"/>
    <w:family w:val="auto"/>
    <w:pitch w:val="default"/>
    <w:sig w:usb0="800002BF" w:usb1="38CF7CFA" w:usb2="00000016" w:usb3="00000000" w:csb0="00040001" w:csb1="00000000"/>
    <w:embedRegular r:id="rId3" w:fontKey="{3E208EB2-508C-43F8-891C-46AFB05244A8}"/>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4" w:fontKey="{3AC69B16-6AB5-45A4-AE96-D5BD9F0B3250}"/>
  </w:font>
  <w:font w:name="方正小标宋简体">
    <w:panose1 w:val="03000509000000000000"/>
    <w:charset w:val="86"/>
    <w:family w:val="auto"/>
    <w:pitch w:val="default"/>
    <w:sig w:usb0="00000001" w:usb1="080E0000" w:usb2="00000000" w:usb3="00000000" w:csb0="00040000" w:csb1="00000000"/>
    <w:embedRegular r:id="rId5" w:fontKey="{1BD18548-0DF7-4026-8479-C936CB546548}"/>
  </w:font>
  <w:font w:name="楷体_GB2312">
    <w:panose1 w:val="02010609030101010101"/>
    <w:charset w:val="86"/>
    <w:family w:val="auto"/>
    <w:pitch w:val="default"/>
    <w:sig w:usb0="00000001" w:usb1="080E0000" w:usb2="00000000" w:usb3="00000000" w:csb0="00040000" w:csb1="00000000"/>
    <w:embedRegular r:id="rId6" w:fontKey="{507065A1-E346-4828-8890-964D5B7EEE2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C151D">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F0F1DA">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EF0F1DA">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EB3CDC"/>
    <w:rsid w:val="0AE2263C"/>
    <w:rsid w:val="10914295"/>
    <w:rsid w:val="115F398D"/>
    <w:rsid w:val="13612BB7"/>
    <w:rsid w:val="1B1E16E1"/>
    <w:rsid w:val="1F552C1D"/>
    <w:rsid w:val="28060EC4"/>
    <w:rsid w:val="34EB00F9"/>
    <w:rsid w:val="36EB3CDC"/>
    <w:rsid w:val="633F55F5"/>
    <w:rsid w:val="69655CEE"/>
    <w:rsid w:val="6BD56512"/>
    <w:rsid w:val="6EDD4B5C"/>
    <w:rsid w:val="7F5D19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 w:cs="Times New Roman"/>
      <w:kern w:val="2"/>
      <w:sz w:val="21"/>
      <w:szCs w:val="24"/>
      <w:lang w:val="en-US" w:eastAsia="zh-CN" w:bidi="ar-SA"/>
    </w:rPr>
  </w:style>
  <w:style w:type="paragraph" w:styleId="4">
    <w:name w:val="heading 2"/>
    <w:basedOn w:val="1"/>
    <w:next w:val="1"/>
    <w:unhideWhenUsed/>
    <w:qFormat/>
    <w:uiPriority w:val="0"/>
    <w:pPr>
      <w:keepLines/>
      <w:spacing w:line="560" w:lineRule="exact"/>
      <w:jc w:val="both"/>
      <w:outlineLvl w:val="1"/>
    </w:pPr>
    <w:rPr>
      <w:rFonts w:ascii="Times New Roman" w:hAnsi="Times New Roman" w:eastAsia="楷体"/>
      <w:bCs/>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ind w:left="420" w:leftChars="200"/>
    </w:pPr>
  </w:style>
  <w:style w:type="paragraph" w:styleId="5">
    <w:name w:val="Body Text"/>
    <w:basedOn w:val="1"/>
    <w:unhideWhenUsed/>
    <w:qFormat/>
    <w:uiPriority w:val="99"/>
    <w:pPr>
      <w:tabs>
        <w:tab w:val="left" w:pos="0"/>
      </w:tabs>
    </w:pPr>
    <w:rPr>
      <w:rFonts w:ascii="宋体" w:hAnsi="宋体" w:eastAsia="仿宋_GB2312"/>
      <w:color w:val="000000"/>
      <w:sz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0d5929cb-927c-41b2-8dc5-40d1e2d4ff47</errorID>
      <errorWord>初设</errorWord>
      <group>L1_Word</group>
      <groupName>字词问题</groupName>
      <ability>L2_Typo</ability>
      <abilityName>字词错误</abilityName>
      <candidateList>
        <item>初审</item>
      </candidateList>
      <explain/>
      <paraID>5521EFF2</paraID>
      <start>5</start>
      <end>7</end>
      <status>ignored</status>
      <modifiedWord/>
      <trackRevisions>false</trackRevisions>
    </reviewItem>
    <reviewItem>
      <errorID>93eaecc2-ccc8-49ad-9d5e-f15ddc18c3b5</errorID>
      <errorWord>债</errorWord>
      <group>L1_Word</group>
      <groupName>字词问题</groupName>
      <ability>L2_Typo</ability>
      <abilityName>字词错误</abilityName>
      <candidateList>
        <item>债券</item>
      </candidateList>
      <explain>〈名〉❶公债券。❷企业、银行或股份公司发行的债权人领取本息的凭证。</explain>
      <paraID>79136CFB</paraID>
      <start>136</start>
      <end>137</end>
      <status>ignored</status>
      <modifiedWord/>
      <trackRevisions>false</trackRevisions>
    </reviewItem>
    <reviewItem>
      <errorID>439b712b-a304-4191-b1b0-9b53bd6cb4e1</errorID>
      <errorWord>但是</errorWord>
      <group>L1_Word</group>
      <groupName>字词问题</groupName>
      <ability>L2_Typo</ability>
      <abilityName>字词错误</abilityName>
      <candidateList>
        <item>但</item>
      </candidateList>
      <explain>❶〈副〉只；仅仅：～愿如此｜不求有功，～求无过｜辽阔的原野上，～见麦浪随风起伏。❷〈连〉但是：屋子小，～挺干净｜工作虽然忙，～一点也没放松学习。❸（Dàn）〈名〉姓。</explain>
      <paraID>79136CFB</paraID>
      <start>146</start>
      <end>148</end>
      <status>ignored</status>
      <modifiedWord/>
      <trackRevisions>false</trackRevisions>
    </reviewItem>
    <reviewItem>
      <errorID>6abca7cd-1eed-4fde-8bdb-af0f2de223c7</errorID>
      <errorWord>。</errorWord>
      <group>L1_Punc</group>
      <groupName>标点问题</groupName>
      <ability>L2_Punc</ability>
      <abilityName>标点符号检查</abilityName>
      <candidateList>
        <item/>
      </candidateList>
      <explain>标题文本后不使用标点符号。</explain>
      <paraID>31A219B7</paraID>
      <start>19</start>
      <end>20</end>
      <status>ignored</status>
      <modifiedWord/>
      <trackRevisions>false</trackRevisions>
    </reviewItem>
    <reviewItem>
      <errorID>b7f3160d-9e47-4a4e-94f4-cc6e9b3690e7</errorID>
      <errorWord>。</errorWord>
      <group>L1_Punc</group>
      <groupName>标点问题</groupName>
      <ability>L2_Punc</ability>
      <abilityName>标点符号检查</abilityName>
      <candidateList>
        <item/>
      </candidateList>
      <explain>标题文本后不使用标点符号。</explain>
      <paraID> CCE6E8C</paraID>
      <start>21</start>
      <end>22</end>
      <status>ignored</status>
      <modifiedWord/>
      <trackRevisions>false</trackRevisions>
    </reviewItem>
    <reviewItem>
      <errorID>af9a17e4-3729-4130-9a33-4a8a2a4ff26b</errorID>
      <errorWord>租金等</errorWord>
      <group>L1_Word</group>
      <groupName>字词问题</groupName>
      <ability>L2_Typo</ability>
      <abilityName>字词错误</abilityName>
      <candidateList>
        <item>租金</item>
      </candidateList>
      <explain/>
      <paraID> CCE6E8C</paraID>
      <start>41</start>
      <end>44</end>
      <status>ignored</status>
      <modifiedWord/>
      <trackRevisions>false</trackRevisions>
    </reviewItem>
    <reviewItem>
      <errorID>35995071-1293-493b-ad56-ee0b43f43d19</errorID>
      <errorWord>。</errorWord>
      <group>L1_Punc</group>
      <groupName>标点问题</groupName>
      <ability>L2_Punc</ability>
      <abilityName>标点符号检查</abilityName>
      <candidateList>
        <item/>
      </candidateList>
      <explain>标题文本后不使用标点符号。</explain>
      <paraID>1DB4AC9F</paraID>
      <start>14</start>
      <end>15</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258f72-846d-4557-bee9-176ecc186601}">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2914</Words>
  <Characters>3151</Characters>
  <Lines>0</Lines>
  <Paragraphs>0</Paragraphs>
  <TotalTime>0</TotalTime>
  <ScaleCrop>false</ScaleCrop>
  <LinksUpToDate>false</LinksUpToDate>
  <CharactersWithSpaces>3155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2025-12-05T01:48:00Z</dcterms:created>
  <dc:creator>A</dc:creator>
  <cp:lastModifiedBy>exquisite</cp:lastModifiedBy>
  <dcterms:modified xsi:type="dcterms:W3CDTF">2025-12-23T03:06:31Z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0EE9AC1297FF4B2F8FC4598CF83462FF_13</vt:lpwstr>
  </property>
  <property fmtid="{D5CDD505-2E9C-101B-9397-08002B2CF9AE}" pid="4" name="KSOTemplateDocerSaveRecord">
    <vt:lpwstr>eyJoZGlkIjoiZmIxMmRmYTA5NGU0NDQ0ZTlkMzRlNWJlNTFlZWI4MDUiLCJ1c2VySWQiOiI0MzIwMDYxOTQifQ==</vt:lpwstr>
  </property>
</Properties>
</file>